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0"/>
        <w:ind w:left="817"/>
        <w:rPr>
          <w:rFonts w:ascii="黑体"/>
        </w:rPr>
      </w:pPr>
      <w:bookmarkStart w:name="仁天封面-0630" w:id="1"/>
      <w:bookmarkEnd w:id="1"/>
      <w:r>
        <w:rPr/>
      </w:r>
      <w:r>
        <w:rPr>
          <w:rFonts w:ascii="黑体"/>
        </w:rPr>
        <w:t>ICS 13.020.20</w:t>
      </w:r>
    </w:p>
    <w:p>
      <w:pPr>
        <w:pStyle w:val="BodyText"/>
        <w:spacing w:before="5"/>
        <w:ind w:left="817"/>
        <w:rPr>
          <w:rFonts w:ascii="黑体"/>
        </w:rPr>
      </w:pPr>
      <w:r>
        <w:rPr>
          <w:rFonts w:ascii="黑体"/>
        </w:rPr>
        <w:t>CCS Z 04</w:t>
      </w:r>
    </w:p>
    <w:p>
      <w:pPr>
        <w:spacing w:before="336"/>
        <w:ind w:left="817" w:right="0" w:firstLine="0"/>
        <w:jc w:val="left"/>
        <w:rPr>
          <w:rFonts w:ascii="Times New Roman"/>
          <w:b/>
          <w:sz w:val="78"/>
        </w:rPr>
      </w:pPr>
      <w:r>
        <w:rPr/>
        <w:br w:type="column"/>
      </w:r>
      <w:r>
        <w:rPr>
          <w:rFonts w:ascii="Times New Roman"/>
          <w:b/>
          <w:w w:val="125"/>
          <w:sz w:val="78"/>
        </w:rPr>
        <w:t>T/HPAESRCU</w:t>
      </w:r>
    </w:p>
    <w:p>
      <w:pPr>
        <w:spacing w:after="0"/>
        <w:jc w:val="left"/>
        <w:rPr>
          <w:rFonts w:ascii="Times New Roman"/>
          <w:sz w:val="78"/>
        </w:rPr>
        <w:sectPr>
          <w:type w:val="continuous"/>
          <w:pgSz w:w="11910" w:h="16840"/>
          <w:pgMar w:top="520" w:bottom="280" w:left="580" w:right="580"/>
          <w:cols w:num="2" w:equalWidth="0">
            <w:col w:w="2226" w:space="849"/>
            <w:col w:w="7675"/>
          </w:cols>
        </w:sectPr>
      </w:pPr>
    </w:p>
    <w:p>
      <w:pPr>
        <w:pStyle w:val="BodyText"/>
        <w:rPr>
          <w:rFonts w:ascii="Times New Roman"/>
          <w:b/>
          <w:sz w:val="20"/>
        </w:rPr>
      </w:pPr>
    </w:p>
    <w:p>
      <w:pPr>
        <w:pStyle w:val="BodyText"/>
        <w:spacing w:before="1"/>
        <w:rPr>
          <w:rFonts w:ascii="Times New Roman"/>
          <w:b/>
          <w:sz w:val="17"/>
        </w:rPr>
      </w:pPr>
    </w:p>
    <w:p>
      <w:pPr>
        <w:spacing w:before="54"/>
        <w:ind w:left="838" w:right="0" w:firstLine="0"/>
        <w:jc w:val="left"/>
        <w:rPr>
          <w:sz w:val="48"/>
        </w:rPr>
      </w:pPr>
      <w:r>
        <w:rPr>
          <w:spacing w:val="53"/>
          <w:sz w:val="48"/>
        </w:rPr>
        <w:t>湖南省节能研究与综合利用协会团体标准</w:t>
      </w:r>
    </w:p>
    <w:p>
      <w:pPr>
        <w:pStyle w:val="BodyText"/>
        <w:rPr>
          <w:sz w:val="47"/>
        </w:rPr>
      </w:pPr>
    </w:p>
    <w:p>
      <w:pPr>
        <w:spacing w:before="0"/>
        <w:ind w:left="0" w:right="550" w:firstLine="0"/>
        <w:jc w:val="right"/>
        <w:rPr>
          <w:rFonts w:ascii="黑体"/>
          <w:sz w:val="28"/>
        </w:rPr>
      </w:pPr>
      <w:r>
        <w:rPr>
          <w:rFonts w:ascii="黑体"/>
          <w:sz w:val="28"/>
        </w:rPr>
        <w:t>T/HPAESRCU 0016-2022</w:t>
      </w:r>
    </w:p>
    <w:p>
      <w:pPr>
        <w:pStyle w:val="BodyText"/>
        <w:spacing w:before="9"/>
        <w:rPr>
          <w:rFonts w:ascii="黑体"/>
          <w:sz w:val="29"/>
        </w:rPr>
      </w:pPr>
      <w:r>
        <w:rPr/>
        <w:pict>
          <v:line style="position:absolute;mso-position-horizontal-relative:page;mso-position-vertical-relative:paragraph;z-index:-251658240;mso-wrap-distance-left:0;mso-wrap-distance-right:0" from="70.900002pt,21.263741pt" to="552.750002pt,21.263741pt" stroked="true" strokeweight=".5pt" strokecolor="#000000">
            <v:stroke dashstyle="solid"/>
            <w10:wrap type="topAndBottom"/>
          </v:line>
        </w:pict>
      </w:r>
    </w:p>
    <w:p>
      <w:pPr>
        <w:pStyle w:val="BodyText"/>
        <w:rPr>
          <w:rFonts w:ascii="黑体"/>
          <w:sz w:val="28"/>
        </w:rPr>
      </w:pPr>
    </w:p>
    <w:p>
      <w:pPr>
        <w:pStyle w:val="BodyText"/>
        <w:rPr>
          <w:rFonts w:ascii="黑体"/>
          <w:sz w:val="28"/>
        </w:rPr>
      </w:pPr>
    </w:p>
    <w:p>
      <w:pPr>
        <w:pStyle w:val="BodyText"/>
        <w:rPr>
          <w:rFonts w:ascii="黑体"/>
          <w:sz w:val="28"/>
        </w:rPr>
      </w:pPr>
    </w:p>
    <w:p>
      <w:pPr>
        <w:pStyle w:val="BodyText"/>
        <w:rPr>
          <w:rFonts w:ascii="黑体"/>
          <w:sz w:val="28"/>
        </w:rPr>
      </w:pPr>
    </w:p>
    <w:p>
      <w:pPr>
        <w:pStyle w:val="BodyText"/>
        <w:rPr>
          <w:rFonts w:ascii="黑体"/>
          <w:sz w:val="28"/>
        </w:rPr>
      </w:pPr>
    </w:p>
    <w:p>
      <w:pPr>
        <w:pStyle w:val="BodyText"/>
        <w:rPr>
          <w:rFonts w:ascii="黑体"/>
          <w:sz w:val="28"/>
        </w:rPr>
      </w:pPr>
    </w:p>
    <w:p>
      <w:pPr>
        <w:pStyle w:val="BodyText"/>
        <w:spacing w:before="8"/>
        <w:rPr>
          <w:rFonts w:ascii="黑体"/>
          <w:sz w:val="24"/>
        </w:rPr>
      </w:pPr>
    </w:p>
    <w:p>
      <w:pPr>
        <w:spacing w:line="249" w:lineRule="auto" w:before="0"/>
        <w:ind w:left="1222" w:right="935" w:firstLine="0"/>
        <w:jc w:val="center"/>
        <w:rPr>
          <w:rFonts w:ascii="黑体" w:eastAsia="黑体" w:hint="eastAsia"/>
          <w:sz w:val="52"/>
        </w:rPr>
      </w:pPr>
      <w:r>
        <w:rPr>
          <w:rFonts w:ascii="黑体" w:eastAsia="黑体" w:hint="eastAsia"/>
          <w:sz w:val="52"/>
        </w:rPr>
        <w:t>绿色设计产品评价技术规范 城镇污泥干化碳化处理一体化装备</w:t>
      </w:r>
    </w:p>
    <w:p>
      <w:pPr>
        <w:pStyle w:val="BodyText"/>
        <w:spacing w:before="9"/>
        <w:rPr>
          <w:rFonts w:ascii="黑体"/>
          <w:sz w:val="49"/>
        </w:rPr>
      </w:pPr>
    </w:p>
    <w:p>
      <w:pPr>
        <w:spacing w:before="1"/>
        <w:ind w:left="290" w:right="0" w:firstLine="0"/>
        <w:jc w:val="center"/>
        <w:rPr>
          <w:rFonts w:ascii="黑体" w:hAnsi="黑体"/>
          <w:sz w:val="28"/>
        </w:rPr>
      </w:pPr>
      <w:r>
        <w:rPr>
          <w:rFonts w:ascii="黑体" w:hAnsi="黑体"/>
          <w:sz w:val="28"/>
        </w:rPr>
        <w:t>Technical Specification for Green-design Product Assessment –</w:t>
      </w:r>
    </w:p>
    <w:p>
      <w:pPr>
        <w:spacing w:before="133"/>
        <w:ind w:left="284" w:right="0" w:firstLine="0"/>
        <w:jc w:val="center"/>
        <w:rPr>
          <w:rFonts w:ascii="黑体"/>
          <w:sz w:val="28"/>
        </w:rPr>
      </w:pPr>
      <w:r>
        <w:rPr>
          <w:rFonts w:ascii="黑体"/>
          <w:sz w:val="28"/>
        </w:rPr>
        <w:t>Integrated Equipment for Urban Sludge Drying and Carbonization Treatment</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tabs>
          <w:tab w:pos="8457" w:val="left" w:leader="none"/>
        </w:tabs>
        <w:spacing w:before="213" w:after="7"/>
        <w:ind w:left="824" w:right="0" w:firstLine="0"/>
        <w:jc w:val="left"/>
        <w:rPr>
          <w:rFonts w:ascii="黑体" w:eastAsia="黑体" w:hint="eastAsia"/>
          <w:sz w:val="28"/>
        </w:rPr>
      </w:pPr>
      <w:r>
        <w:rPr>
          <w:rFonts w:ascii="黑体" w:eastAsia="黑体" w:hint="eastAsia"/>
          <w:sz w:val="28"/>
        </w:rPr>
        <w:t>2022-07-01</w:t>
      </w:r>
      <w:r>
        <w:rPr>
          <w:rFonts w:ascii="黑体" w:eastAsia="黑体" w:hint="eastAsia"/>
          <w:spacing w:val="-73"/>
          <w:sz w:val="28"/>
        </w:rPr>
        <w:t> </w:t>
      </w:r>
      <w:r>
        <w:rPr>
          <w:rFonts w:ascii="黑体" w:eastAsia="黑体" w:hint="eastAsia"/>
          <w:sz w:val="28"/>
        </w:rPr>
        <w:t>发布</w:t>
        <w:tab/>
        <w:t>2022-07-04</w:t>
      </w:r>
      <w:r>
        <w:rPr>
          <w:rFonts w:ascii="黑体" w:eastAsia="黑体" w:hint="eastAsia"/>
          <w:spacing w:val="-72"/>
          <w:sz w:val="28"/>
        </w:rPr>
        <w:t> </w:t>
      </w:r>
      <w:r>
        <w:rPr>
          <w:rFonts w:ascii="黑体" w:eastAsia="黑体" w:hint="eastAsia"/>
          <w:sz w:val="28"/>
        </w:rPr>
        <w:t>实施</w:t>
      </w:r>
    </w:p>
    <w:p>
      <w:pPr>
        <w:pStyle w:val="BodyText"/>
        <w:spacing w:line="20" w:lineRule="exact"/>
        <w:ind w:left="833"/>
        <w:rPr>
          <w:rFonts w:ascii="黑体"/>
          <w:sz w:val="2"/>
        </w:rPr>
      </w:pPr>
      <w:r>
        <w:rPr>
          <w:rFonts w:ascii="黑体"/>
          <w:sz w:val="2"/>
        </w:rPr>
        <w:pict>
          <v:group style="width:481.85pt;height:.5pt;mso-position-horizontal-relative:char;mso-position-vertical-relative:line" coordorigin="0,0" coordsize="9637,10">
            <v:line style="position:absolute" from="0,5" to="9637,5" stroked="true" strokeweight=".5pt" strokecolor="#000000">
              <v:stroke dashstyle="solid"/>
            </v:line>
          </v:group>
        </w:pict>
      </w:r>
      <w:r>
        <w:rPr>
          <w:rFonts w:ascii="黑体"/>
          <w:sz w:val="2"/>
        </w:rPr>
      </w:r>
    </w:p>
    <w:p>
      <w:pPr>
        <w:pStyle w:val="BodyText"/>
        <w:rPr>
          <w:rFonts w:ascii="黑体"/>
          <w:sz w:val="28"/>
        </w:rPr>
      </w:pPr>
    </w:p>
    <w:p>
      <w:pPr>
        <w:pStyle w:val="BodyText"/>
        <w:spacing w:before="10"/>
        <w:rPr>
          <w:rFonts w:ascii="黑体"/>
          <w:sz w:val="25"/>
        </w:rPr>
      </w:pPr>
    </w:p>
    <w:p>
      <w:pPr>
        <w:tabs>
          <w:tab w:pos="8385" w:val="left" w:leader="none"/>
        </w:tabs>
        <w:spacing w:before="1"/>
        <w:ind w:left="2362" w:right="0" w:firstLine="0"/>
        <w:jc w:val="left"/>
        <w:rPr>
          <w:rFonts w:ascii="黑体" w:eastAsia="黑体" w:hint="eastAsia"/>
          <w:sz w:val="28"/>
        </w:rPr>
      </w:pPr>
      <w:r>
        <w:rPr>
          <w:rFonts w:ascii="黑体" w:eastAsia="黑体" w:hint="eastAsia"/>
          <w:spacing w:val="41"/>
          <w:w w:val="120"/>
          <w:sz w:val="28"/>
        </w:rPr>
        <w:t>湖</w:t>
      </w:r>
      <w:r>
        <w:rPr>
          <w:rFonts w:ascii="黑体" w:eastAsia="黑体" w:hint="eastAsia"/>
          <w:spacing w:val="43"/>
          <w:w w:val="120"/>
          <w:sz w:val="28"/>
        </w:rPr>
        <w:t>南</w:t>
      </w:r>
      <w:r>
        <w:rPr>
          <w:rFonts w:ascii="黑体" w:eastAsia="黑体" w:hint="eastAsia"/>
          <w:spacing w:val="42"/>
          <w:w w:val="120"/>
          <w:sz w:val="28"/>
        </w:rPr>
        <w:t>省</w:t>
      </w:r>
      <w:r>
        <w:rPr>
          <w:rFonts w:ascii="黑体" w:eastAsia="黑体" w:hint="eastAsia"/>
          <w:spacing w:val="43"/>
          <w:w w:val="120"/>
          <w:sz w:val="28"/>
        </w:rPr>
        <w:t>节</w:t>
      </w:r>
      <w:r>
        <w:rPr>
          <w:rFonts w:ascii="黑体" w:eastAsia="黑体" w:hint="eastAsia"/>
          <w:spacing w:val="41"/>
          <w:w w:val="120"/>
          <w:sz w:val="28"/>
        </w:rPr>
        <w:t>能</w:t>
      </w:r>
      <w:r>
        <w:rPr>
          <w:rFonts w:ascii="黑体" w:eastAsia="黑体" w:hint="eastAsia"/>
          <w:spacing w:val="43"/>
          <w:w w:val="120"/>
          <w:sz w:val="28"/>
        </w:rPr>
        <w:t>研</w:t>
      </w:r>
      <w:r>
        <w:rPr>
          <w:rFonts w:ascii="黑体" w:eastAsia="黑体" w:hint="eastAsia"/>
          <w:spacing w:val="41"/>
          <w:w w:val="120"/>
          <w:sz w:val="28"/>
        </w:rPr>
        <w:t>究</w:t>
      </w:r>
      <w:r>
        <w:rPr>
          <w:rFonts w:ascii="黑体" w:eastAsia="黑体" w:hint="eastAsia"/>
          <w:spacing w:val="43"/>
          <w:w w:val="120"/>
          <w:sz w:val="28"/>
        </w:rPr>
        <w:t>与</w:t>
      </w:r>
      <w:r>
        <w:rPr>
          <w:rFonts w:ascii="黑体" w:eastAsia="黑体" w:hint="eastAsia"/>
          <w:spacing w:val="41"/>
          <w:w w:val="120"/>
          <w:sz w:val="28"/>
        </w:rPr>
        <w:t>综</w:t>
      </w:r>
      <w:r>
        <w:rPr>
          <w:rFonts w:ascii="黑体" w:eastAsia="黑体" w:hint="eastAsia"/>
          <w:spacing w:val="43"/>
          <w:w w:val="120"/>
          <w:sz w:val="28"/>
        </w:rPr>
        <w:t>合</w:t>
      </w:r>
      <w:r>
        <w:rPr>
          <w:rFonts w:ascii="黑体" w:eastAsia="黑体" w:hint="eastAsia"/>
          <w:spacing w:val="41"/>
          <w:w w:val="120"/>
          <w:sz w:val="28"/>
        </w:rPr>
        <w:t>利</w:t>
      </w:r>
      <w:r>
        <w:rPr>
          <w:rFonts w:ascii="黑体" w:eastAsia="黑体" w:hint="eastAsia"/>
          <w:spacing w:val="43"/>
          <w:w w:val="120"/>
          <w:sz w:val="28"/>
        </w:rPr>
        <w:t>用</w:t>
      </w:r>
      <w:r>
        <w:rPr>
          <w:rFonts w:ascii="黑体" w:eastAsia="黑体" w:hint="eastAsia"/>
          <w:spacing w:val="41"/>
          <w:w w:val="120"/>
          <w:sz w:val="28"/>
        </w:rPr>
        <w:t>协</w:t>
      </w:r>
      <w:r>
        <w:rPr>
          <w:rFonts w:ascii="黑体" w:eastAsia="黑体" w:hint="eastAsia"/>
          <w:w w:val="120"/>
          <w:sz w:val="28"/>
        </w:rPr>
        <w:t>会</w:t>
        <w:tab/>
        <w:t>发</w:t>
      </w:r>
      <w:r>
        <w:rPr>
          <w:rFonts w:ascii="黑体" w:eastAsia="黑体" w:hint="eastAsia"/>
          <w:spacing w:val="-38"/>
          <w:w w:val="120"/>
          <w:sz w:val="28"/>
        </w:rPr>
        <w:t> </w:t>
      </w:r>
      <w:r>
        <w:rPr>
          <w:rFonts w:ascii="黑体" w:eastAsia="黑体" w:hint="eastAsia"/>
          <w:w w:val="120"/>
          <w:sz w:val="28"/>
        </w:rPr>
        <w:t>布</w:t>
      </w:r>
    </w:p>
    <w:p>
      <w:pPr>
        <w:spacing w:after="0"/>
        <w:jc w:val="left"/>
        <w:rPr>
          <w:rFonts w:ascii="黑体" w:eastAsia="黑体" w:hint="eastAsia"/>
          <w:sz w:val="28"/>
        </w:rPr>
        <w:sectPr>
          <w:type w:val="continuous"/>
          <w:pgSz w:w="11910" w:h="16840"/>
          <w:pgMar w:top="520" w:bottom="280" w:left="580" w:right="580"/>
        </w:sectPr>
      </w:pPr>
    </w:p>
    <w:p>
      <w:pPr>
        <w:pStyle w:val="BodyText"/>
        <w:rPr>
          <w:rFonts w:ascii="黑体"/>
          <w:sz w:val="20"/>
        </w:rPr>
      </w:pPr>
    </w:p>
    <w:p>
      <w:pPr>
        <w:pStyle w:val="BodyText"/>
        <w:spacing w:before="5"/>
        <w:rPr>
          <w:rFonts w:ascii="黑体"/>
          <w:sz w:val="25"/>
        </w:rPr>
      </w:pPr>
    </w:p>
    <w:p>
      <w:pPr>
        <w:pStyle w:val="Heading1"/>
        <w:tabs>
          <w:tab w:pos="923" w:val="left" w:leader="none"/>
        </w:tabs>
        <w:ind w:left="282"/>
      </w:pPr>
      <w:bookmarkStart w:name="仁天正文-0630" w:id="2"/>
      <w:bookmarkEnd w:id="2"/>
      <w:r>
        <w:rPr/>
      </w:r>
      <w:r>
        <w:rPr/>
        <w:t>目</w:t>
        <w:tab/>
        <w:t>次</w:t>
      </w:r>
    </w:p>
    <w:p>
      <w:pPr>
        <w:tabs>
          <w:tab w:pos="717" w:val="left" w:leader="none"/>
          <w:tab w:pos="9620" w:val="right" w:leader="dot"/>
        </w:tabs>
        <w:spacing w:before="669"/>
        <w:ind w:left="276" w:right="0" w:firstLine="0"/>
        <w:jc w:val="center"/>
        <w:rPr>
          <w:rFonts w:ascii="Calibri" w:eastAsia="Calibri"/>
          <w:sz w:val="22"/>
        </w:rPr>
      </w:pPr>
      <w:hyperlink w:history="true" w:anchor="_bookmark0">
        <w:r>
          <w:rPr>
            <w:rFonts w:ascii="黑体" w:eastAsia="黑体" w:hint="eastAsia"/>
            <w:sz w:val="22"/>
          </w:rPr>
          <w:t>前</w:t>
          <w:tab/>
          <w:t>言</w:t>
        </w:r>
      </w:hyperlink>
      <w:r>
        <w:rPr>
          <w:rFonts w:ascii="黑体" w:eastAsia="黑体" w:hint="eastAsia"/>
          <w:sz w:val="22"/>
        </w:rPr>
        <w:tab/>
      </w:r>
      <w:hyperlink w:history="true" w:anchor="_bookmark0">
        <w:r>
          <w:rPr>
            <w:rFonts w:ascii="Calibri" w:eastAsia="Calibri"/>
            <w:sz w:val="22"/>
          </w:rPr>
          <w:t>II</w:t>
        </w:r>
      </w:hyperlink>
    </w:p>
    <w:p>
      <w:pPr>
        <w:pStyle w:val="ListParagraph"/>
        <w:numPr>
          <w:ilvl w:val="0"/>
          <w:numId w:val="1"/>
        </w:numPr>
        <w:tabs>
          <w:tab w:pos="1169" w:val="left" w:leader="none"/>
          <w:tab w:pos="1171" w:val="left" w:leader="none"/>
          <w:tab w:pos="10185" w:val="right" w:leader="dot"/>
        </w:tabs>
        <w:spacing w:line="240" w:lineRule="auto" w:before="126" w:after="0"/>
        <w:ind w:left="1170" w:right="0" w:hanging="333"/>
        <w:jc w:val="left"/>
        <w:rPr>
          <w:rFonts w:ascii="Calibri" w:eastAsia="Calibri"/>
          <w:sz w:val="22"/>
        </w:rPr>
      </w:pPr>
      <w:hyperlink w:history="true" w:anchor="_bookmark1">
        <w:r>
          <w:rPr>
            <w:rFonts w:ascii="黑体" w:eastAsia="黑体" w:hint="eastAsia"/>
            <w:sz w:val="22"/>
          </w:rPr>
          <w:t>范围</w:t>
        </w:r>
      </w:hyperlink>
      <w:r>
        <w:rPr>
          <w:rFonts w:ascii="黑体" w:eastAsia="黑体" w:hint="eastAsia"/>
          <w:sz w:val="22"/>
        </w:rPr>
        <w:tab/>
      </w:r>
      <w:hyperlink w:history="true" w:anchor="_bookmark1">
        <w:r>
          <w:rPr>
            <w:rFonts w:ascii="Calibri" w:eastAsia="Calibri"/>
            <w:sz w:val="22"/>
          </w:rPr>
          <w:t>1</w:t>
        </w:r>
      </w:hyperlink>
    </w:p>
    <w:p>
      <w:pPr>
        <w:pStyle w:val="ListParagraph"/>
        <w:numPr>
          <w:ilvl w:val="0"/>
          <w:numId w:val="1"/>
        </w:numPr>
        <w:tabs>
          <w:tab w:pos="1169" w:val="left" w:leader="none"/>
          <w:tab w:pos="1171" w:val="left" w:leader="none"/>
          <w:tab w:pos="10185" w:val="right" w:leader="dot"/>
        </w:tabs>
        <w:spacing w:line="240" w:lineRule="auto" w:before="126" w:after="0"/>
        <w:ind w:left="1170" w:right="0" w:hanging="333"/>
        <w:jc w:val="left"/>
        <w:rPr>
          <w:rFonts w:ascii="Calibri" w:eastAsia="Calibri"/>
          <w:sz w:val="22"/>
        </w:rPr>
      </w:pPr>
      <w:hyperlink w:history="true" w:anchor="_bookmark2">
        <w:r>
          <w:rPr>
            <w:rFonts w:ascii="黑体" w:eastAsia="黑体" w:hint="eastAsia"/>
            <w:sz w:val="22"/>
          </w:rPr>
          <w:t>规范</w:t>
        </w:r>
        <w:r>
          <w:rPr>
            <w:rFonts w:ascii="黑体" w:eastAsia="黑体" w:hint="eastAsia"/>
            <w:spacing w:val="-3"/>
            <w:sz w:val="22"/>
          </w:rPr>
          <w:t>性</w:t>
        </w:r>
        <w:r>
          <w:rPr>
            <w:rFonts w:ascii="黑体" w:eastAsia="黑体" w:hint="eastAsia"/>
            <w:sz w:val="22"/>
          </w:rPr>
          <w:t>引用</w:t>
        </w:r>
        <w:r>
          <w:rPr>
            <w:rFonts w:ascii="黑体" w:eastAsia="黑体" w:hint="eastAsia"/>
            <w:spacing w:val="-3"/>
            <w:sz w:val="22"/>
          </w:rPr>
          <w:t>文</w:t>
        </w:r>
        <w:r>
          <w:rPr>
            <w:rFonts w:ascii="黑体" w:eastAsia="黑体" w:hint="eastAsia"/>
            <w:sz w:val="22"/>
          </w:rPr>
          <w:t>件</w:t>
        </w:r>
      </w:hyperlink>
      <w:r>
        <w:rPr>
          <w:rFonts w:ascii="黑体" w:eastAsia="黑体" w:hint="eastAsia"/>
          <w:sz w:val="22"/>
        </w:rPr>
        <w:tab/>
      </w:r>
      <w:hyperlink w:history="true" w:anchor="_bookmark2">
        <w:r>
          <w:rPr>
            <w:rFonts w:ascii="Calibri" w:eastAsia="Calibri"/>
            <w:sz w:val="22"/>
          </w:rPr>
          <w:t>1</w:t>
        </w:r>
      </w:hyperlink>
    </w:p>
    <w:p>
      <w:pPr>
        <w:pStyle w:val="ListParagraph"/>
        <w:numPr>
          <w:ilvl w:val="0"/>
          <w:numId w:val="1"/>
        </w:numPr>
        <w:tabs>
          <w:tab w:pos="1169" w:val="left" w:leader="none"/>
          <w:tab w:pos="1171" w:val="left" w:leader="none"/>
          <w:tab w:pos="10185" w:val="right" w:leader="dot"/>
        </w:tabs>
        <w:spacing w:line="240" w:lineRule="auto" w:before="126" w:after="0"/>
        <w:ind w:left="1170" w:right="0" w:hanging="333"/>
        <w:jc w:val="left"/>
        <w:rPr>
          <w:rFonts w:ascii="Calibri" w:eastAsia="Calibri"/>
          <w:sz w:val="22"/>
        </w:rPr>
      </w:pPr>
      <w:hyperlink w:history="true" w:anchor="_bookmark3">
        <w:r>
          <w:rPr>
            <w:rFonts w:ascii="黑体" w:eastAsia="黑体" w:hint="eastAsia"/>
            <w:sz w:val="22"/>
          </w:rPr>
          <w:t>术语</w:t>
        </w:r>
        <w:r>
          <w:rPr>
            <w:rFonts w:ascii="黑体" w:eastAsia="黑体" w:hint="eastAsia"/>
            <w:spacing w:val="-3"/>
            <w:sz w:val="22"/>
          </w:rPr>
          <w:t>和</w:t>
        </w:r>
        <w:r>
          <w:rPr>
            <w:rFonts w:ascii="黑体" w:eastAsia="黑体" w:hint="eastAsia"/>
            <w:sz w:val="22"/>
          </w:rPr>
          <w:t>定义</w:t>
        </w:r>
      </w:hyperlink>
      <w:r>
        <w:rPr>
          <w:rFonts w:ascii="黑体" w:eastAsia="黑体" w:hint="eastAsia"/>
          <w:sz w:val="22"/>
        </w:rPr>
        <w:tab/>
      </w:r>
      <w:hyperlink w:history="true" w:anchor="_bookmark3">
        <w:r>
          <w:rPr>
            <w:rFonts w:ascii="Calibri" w:eastAsia="Calibri"/>
            <w:sz w:val="22"/>
          </w:rPr>
          <w:t>2</w:t>
        </w:r>
      </w:hyperlink>
    </w:p>
    <w:p>
      <w:pPr>
        <w:pStyle w:val="ListParagraph"/>
        <w:numPr>
          <w:ilvl w:val="0"/>
          <w:numId w:val="1"/>
        </w:numPr>
        <w:tabs>
          <w:tab w:pos="1169" w:val="left" w:leader="none"/>
          <w:tab w:pos="1171" w:val="left" w:leader="none"/>
          <w:tab w:pos="10185" w:val="right" w:leader="dot"/>
        </w:tabs>
        <w:spacing w:line="240" w:lineRule="auto" w:before="127" w:after="0"/>
        <w:ind w:left="1170" w:right="0" w:hanging="333"/>
        <w:jc w:val="left"/>
        <w:rPr>
          <w:rFonts w:ascii="Calibri" w:eastAsia="Calibri"/>
          <w:sz w:val="22"/>
        </w:rPr>
      </w:pPr>
      <w:hyperlink w:history="true" w:anchor="_bookmark4">
        <w:r>
          <w:rPr>
            <w:rFonts w:ascii="黑体" w:eastAsia="黑体" w:hint="eastAsia"/>
            <w:sz w:val="22"/>
          </w:rPr>
          <w:t>评价</w:t>
        </w:r>
        <w:r>
          <w:rPr>
            <w:rFonts w:ascii="黑体" w:eastAsia="黑体" w:hint="eastAsia"/>
            <w:spacing w:val="-3"/>
            <w:sz w:val="22"/>
          </w:rPr>
          <w:t>要</w:t>
        </w:r>
        <w:r>
          <w:rPr>
            <w:rFonts w:ascii="黑体" w:eastAsia="黑体" w:hint="eastAsia"/>
            <w:sz w:val="22"/>
          </w:rPr>
          <w:t>求</w:t>
        </w:r>
      </w:hyperlink>
      <w:r>
        <w:rPr>
          <w:rFonts w:ascii="黑体" w:eastAsia="黑体" w:hint="eastAsia"/>
          <w:sz w:val="22"/>
        </w:rPr>
        <w:tab/>
      </w:r>
      <w:hyperlink w:history="true" w:anchor="_bookmark4">
        <w:r>
          <w:rPr>
            <w:rFonts w:ascii="Calibri" w:eastAsia="Calibri"/>
            <w:sz w:val="22"/>
          </w:rPr>
          <w:t>2</w:t>
        </w:r>
      </w:hyperlink>
    </w:p>
    <w:p>
      <w:pPr>
        <w:pStyle w:val="ListParagraph"/>
        <w:numPr>
          <w:ilvl w:val="0"/>
          <w:numId w:val="1"/>
        </w:numPr>
        <w:tabs>
          <w:tab w:pos="1169" w:val="left" w:leader="none"/>
          <w:tab w:pos="1171" w:val="left" w:leader="none"/>
          <w:tab w:pos="10185" w:val="right" w:leader="dot"/>
        </w:tabs>
        <w:spacing w:line="240" w:lineRule="auto" w:before="126" w:after="0"/>
        <w:ind w:left="1170" w:right="0" w:hanging="333"/>
        <w:jc w:val="left"/>
        <w:rPr>
          <w:rFonts w:ascii="Calibri" w:eastAsia="Calibri"/>
          <w:sz w:val="22"/>
        </w:rPr>
      </w:pPr>
      <w:hyperlink w:history="true" w:anchor="_bookmark5">
        <w:r>
          <w:rPr>
            <w:rFonts w:ascii="黑体" w:eastAsia="黑体" w:hint="eastAsia"/>
            <w:sz w:val="22"/>
          </w:rPr>
          <w:t>评价</w:t>
        </w:r>
        <w:r>
          <w:rPr>
            <w:rFonts w:ascii="黑体" w:eastAsia="黑体" w:hint="eastAsia"/>
            <w:spacing w:val="-3"/>
            <w:sz w:val="22"/>
          </w:rPr>
          <w:t>报</w:t>
        </w:r>
        <w:r>
          <w:rPr>
            <w:rFonts w:ascii="黑体" w:eastAsia="黑体" w:hint="eastAsia"/>
            <w:sz w:val="22"/>
          </w:rPr>
          <w:t>告框架</w:t>
        </w:r>
      </w:hyperlink>
      <w:r>
        <w:rPr>
          <w:rFonts w:ascii="黑体" w:eastAsia="黑体" w:hint="eastAsia"/>
          <w:sz w:val="22"/>
        </w:rPr>
        <w:tab/>
      </w:r>
      <w:hyperlink w:history="true" w:anchor="_bookmark5">
        <w:r>
          <w:rPr>
            <w:rFonts w:ascii="Calibri" w:eastAsia="Calibri"/>
            <w:sz w:val="22"/>
          </w:rPr>
          <w:t>4</w:t>
        </w:r>
      </w:hyperlink>
    </w:p>
    <w:p>
      <w:pPr>
        <w:pStyle w:val="ListParagraph"/>
        <w:numPr>
          <w:ilvl w:val="0"/>
          <w:numId w:val="1"/>
        </w:numPr>
        <w:tabs>
          <w:tab w:pos="1169" w:val="left" w:leader="none"/>
          <w:tab w:pos="1171" w:val="left" w:leader="none"/>
          <w:tab w:pos="10185" w:val="right" w:leader="dot"/>
        </w:tabs>
        <w:spacing w:line="240" w:lineRule="auto" w:before="126" w:after="0"/>
        <w:ind w:left="1170" w:right="0" w:hanging="333"/>
        <w:jc w:val="left"/>
        <w:rPr>
          <w:rFonts w:ascii="Calibri" w:eastAsia="Calibri"/>
          <w:sz w:val="22"/>
        </w:rPr>
      </w:pPr>
      <w:hyperlink w:history="true" w:anchor="_bookmark6">
        <w:r>
          <w:rPr>
            <w:rFonts w:ascii="黑体" w:eastAsia="黑体" w:hint="eastAsia"/>
            <w:sz w:val="22"/>
          </w:rPr>
          <w:t>评价</w:t>
        </w:r>
        <w:r>
          <w:rPr>
            <w:rFonts w:ascii="黑体" w:eastAsia="黑体" w:hint="eastAsia"/>
            <w:spacing w:val="-3"/>
            <w:sz w:val="22"/>
          </w:rPr>
          <w:t>方</w:t>
        </w:r>
        <w:r>
          <w:rPr>
            <w:rFonts w:ascii="黑体" w:eastAsia="黑体" w:hint="eastAsia"/>
            <w:sz w:val="22"/>
          </w:rPr>
          <w:t>法</w:t>
        </w:r>
      </w:hyperlink>
      <w:r>
        <w:rPr>
          <w:rFonts w:ascii="黑体" w:eastAsia="黑体" w:hint="eastAsia"/>
          <w:sz w:val="22"/>
        </w:rPr>
        <w:tab/>
      </w:r>
      <w:hyperlink w:history="true" w:anchor="_bookmark6">
        <w:r>
          <w:rPr>
            <w:rFonts w:ascii="Calibri" w:eastAsia="Calibri"/>
            <w:sz w:val="22"/>
          </w:rPr>
          <w:t>5</w:t>
        </w:r>
      </w:hyperlink>
    </w:p>
    <w:p>
      <w:pPr>
        <w:tabs>
          <w:tab w:pos="10185" w:val="right" w:leader="dot"/>
        </w:tabs>
        <w:spacing w:before="124"/>
        <w:ind w:left="838" w:right="0" w:firstLine="0"/>
        <w:jc w:val="left"/>
        <w:rPr>
          <w:rFonts w:ascii="Calibri" w:eastAsia="Calibri"/>
          <w:sz w:val="22"/>
        </w:rPr>
      </w:pPr>
      <w:hyperlink w:history="true" w:anchor="_bookmark7">
        <w:r>
          <w:rPr>
            <w:rFonts w:ascii="黑体" w:eastAsia="黑体" w:hint="eastAsia"/>
            <w:sz w:val="22"/>
          </w:rPr>
          <w:t>附录</w:t>
        </w:r>
        <w:r>
          <w:rPr>
            <w:rFonts w:ascii="黑体" w:eastAsia="黑体" w:hint="eastAsia"/>
            <w:spacing w:val="-55"/>
            <w:sz w:val="22"/>
          </w:rPr>
          <w:t> </w:t>
        </w:r>
        <w:r>
          <w:rPr>
            <w:rFonts w:ascii="黑体" w:eastAsia="黑体" w:hint="eastAsia"/>
            <w:sz w:val="22"/>
          </w:rPr>
          <w:t>A（规范</w:t>
        </w:r>
        <w:r>
          <w:rPr>
            <w:rFonts w:ascii="黑体" w:eastAsia="黑体" w:hint="eastAsia"/>
            <w:spacing w:val="-3"/>
            <w:sz w:val="22"/>
          </w:rPr>
          <w:t>性</w:t>
        </w:r>
        <w:r>
          <w:rPr>
            <w:rFonts w:ascii="黑体" w:eastAsia="黑体" w:hint="eastAsia"/>
            <w:sz w:val="22"/>
          </w:rPr>
          <w:t>） 指</w:t>
        </w:r>
        <w:r>
          <w:rPr>
            <w:rFonts w:ascii="黑体" w:eastAsia="黑体" w:hint="eastAsia"/>
            <w:spacing w:val="-3"/>
            <w:sz w:val="22"/>
          </w:rPr>
          <w:t>标</w:t>
        </w:r>
        <w:r>
          <w:rPr>
            <w:rFonts w:ascii="黑体" w:eastAsia="黑体" w:hint="eastAsia"/>
            <w:sz w:val="22"/>
          </w:rPr>
          <w:t>计算方法</w:t>
        </w:r>
      </w:hyperlink>
      <w:r>
        <w:rPr>
          <w:rFonts w:ascii="黑体" w:eastAsia="黑体" w:hint="eastAsia"/>
          <w:sz w:val="22"/>
        </w:rPr>
        <w:tab/>
      </w:r>
      <w:hyperlink w:history="true" w:anchor="_bookmark7">
        <w:r>
          <w:rPr>
            <w:rFonts w:ascii="Calibri" w:eastAsia="Calibri"/>
            <w:sz w:val="22"/>
          </w:rPr>
          <w:t>6</w:t>
        </w:r>
      </w:hyperlink>
    </w:p>
    <w:p>
      <w:pPr>
        <w:tabs>
          <w:tab w:pos="10185" w:val="right" w:leader="dot"/>
        </w:tabs>
        <w:spacing w:before="126"/>
        <w:ind w:left="838" w:right="0" w:firstLine="0"/>
        <w:jc w:val="left"/>
        <w:rPr>
          <w:rFonts w:ascii="Calibri" w:eastAsia="Calibri"/>
          <w:sz w:val="22"/>
        </w:rPr>
      </w:pPr>
      <w:hyperlink w:history="true" w:anchor="_bookmark8">
        <w:r>
          <w:rPr>
            <w:rFonts w:ascii="黑体" w:eastAsia="黑体" w:hint="eastAsia"/>
            <w:sz w:val="22"/>
          </w:rPr>
          <w:t>附录</w:t>
        </w:r>
        <w:r>
          <w:rPr>
            <w:rFonts w:ascii="黑体" w:eastAsia="黑体" w:hint="eastAsia"/>
            <w:spacing w:val="-55"/>
            <w:sz w:val="22"/>
          </w:rPr>
          <w:t> </w:t>
        </w:r>
        <w:r>
          <w:rPr>
            <w:rFonts w:ascii="黑体" w:eastAsia="黑体" w:hint="eastAsia"/>
            <w:sz w:val="22"/>
          </w:rPr>
          <w:t>B（规范</w:t>
        </w:r>
        <w:r>
          <w:rPr>
            <w:rFonts w:ascii="黑体" w:eastAsia="黑体" w:hint="eastAsia"/>
            <w:spacing w:val="-3"/>
            <w:sz w:val="22"/>
          </w:rPr>
          <w:t>性</w:t>
        </w:r>
        <w:r>
          <w:rPr>
            <w:rFonts w:ascii="黑体" w:eastAsia="黑体" w:hint="eastAsia"/>
            <w:sz w:val="22"/>
          </w:rPr>
          <w:t>） 生</w:t>
        </w:r>
        <w:r>
          <w:rPr>
            <w:rFonts w:ascii="黑体" w:eastAsia="黑体" w:hint="eastAsia"/>
            <w:spacing w:val="-3"/>
            <w:sz w:val="22"/>
          </w:rPr>
          <w:t>命</w:t>
        </w:r>
        <w:r>
          <w:rPr>
            <w:rFonts w:ascii="黑体" w:eastAsia="黑体" w:hint="eastAsia"/>
            <w:sz w:val="22"/>
          </w:rPr>
          <w:t>周期评</w:t>
        </w:r>
        <w:r>
          <w:rPr>
            <w:rFonts w:ascii="黑体" w:eastAsia="黑体" w:hint="eastAsia"/>
            <w:spacing w:val="-3"/>
            <w:sz w:val="22"/>
          </w:rPr>
          <w:t>价</w:t>
        </w:r>
        <w:r>
          <w:rPr>
            <w:rFonts w:ascii="黑体" w:eastAsia="黑体" w:hint="eastAsia"/>
            <w:sz w:val="22"/>
          </w:rPr>
          <w:t>方法</w:t>
        </w:r>
      </w:hyperlink>
      <w:r>
        <w:rPr>
          <w:rFonts w:ascii="黑体" w:eastAsia="黑体" w:hint="eastAsia"/>
          <w:sz w:val="22"/>
        </w:rPr>
        <w:tab/>
      </w:r>
      <w:hyperlink w:history="true" w:anchor="_bookmark8">
        <w:r>
          <w:rPr>
            <w:rFonts w:ascii="Calibri" w:eastAsia="Calibri"/>
            <w:sz w:val="22"/>
          </w:rPr>
          <w:t>8</w:t>
        </w:r>
      </w:hyperlink>
    </w:p>
    <w:p>
      <w:pPr>
        <w:tabs>
          <w:tab w:pos="10185" w:val="right" w:leader="dot"/>
        </w:tabs>
        <w:spacing w:before="126"/>
        <w:ind w:left="838" w:right="0" w:firstLine="0"/>
        <w:jc w:val="left"/>
        <w:rPr>
          <w:rFonts w:ascii="Calibri" w:eastAsia="Calibri"/>
          <w:sz w:val="22"/>
        </w:rPr>
      </w:pPr>
      <w:hyperlink w:history="true" w:anchor="_bookmark9">
        <w:r>
          <w:rPr>
            <w:rFonts w:ascii="黑体" w:eastAsia="黑体" w:hint="eastAsia"/>
            <w:sz w:val="22"/>
          </w:rPr>
          <w:t>附录</w:t>
        </w:r>
        <w:r>
          <w:rPr>
            <w:rFonts w:ascii="黑体" w:eastAsia="黑体" w:hint="eastAsia"/>
            <w:spacing w:val="-55"/>
            <w:sz w:val="22"/>
          </w:rPr>
          <w:t> </w:t>
        </w:r>
        <w:r>
          <w:rPr>
            <w:rFonts w:ascii="黑体" w:eastAsia="黑体" w:hint="eastAsia"/>
            <w:sz w:val="22"/>
          </w:rPr>
          <w:t>C（资料</w:t>
        </w:r>
        <w:r>
          <w:rPr>
            <w:rFonts w:ascii="黑体" w:eastAsia="黑体" w:hint="eastAsia"/>
            <w:spacing w:val="-3"/>
            <w:sz w:val="22"/>
          </w:rPr>
          <w:t>性</w:t>
        </w:r>
        <w:r>
          <w:rPr>
            <w:rFonts w:ascii="黑体" w:eastAsia="黑体" w:hint="eastAsia"/>
            <w:sz w:val="22"/>
          </w:rPr>
          <w:t>） 数</w:t>
        </w:r>
        <w:r>
          <w:rPr>
            <w:rFonts w:ascii="黑体" w:eastAsia="黑体" w:hint="eastAsia"/>
            <w:spacing w:val="-3"/>
            <w:sz w:val="22"/>
          </w:rPr>
          <w:t>据</w:t>
        </w:r>
        <w:r>
          <w:rPr>
            <w:rFonts w:ascii="黑体" w:eastAsia="黑体" w:hint="eastAsia"/>
            <w:sz w:val="22"/>
          </w:rPr>
          <w:t>收集清单</w:t>
        </w:r>
      </w:hyperlink>
      <w:r>
        <w:rPr>
          <w:rFonts w:ascii="黑体" w:eastAsia="黑体" w:hint="eastAsia"/>
          <w:sz w:val="22"/>
        </w:rPr>
        <w:tab/>
      </w:r>
      <w:hyperlink w:history="true" w:anchor="_bookmark9">
        <w:r>
          <w:rPr>
            <w:rFonts w:ascii="Calibri" w:eastAsia="Calibri"/>
            <w:sz w:val="22"/>
          </w:rPr>
          <w:t>13</w:t>
        </w:r>
      </w:hyperlink>
    </w:p>
    <w:p>
      <w:pPr>
        <w:pStyle w:val="BodyText"/>
        <w:rPr>
          <w:rFonts w:ascii="Calibri"/>
          <w:sz w:val="24"/>
        </w:rPr>
      </w:pPr>
    </w:p>
    <w:p>
      <w:pPr>
        <w:pStyle w:val="BodyText"/>
        <w:spacing w:before="2"/>
        <w:rPr>
          <w:rFonts w:ascii="Calibri"/>
          <w:sz w:val="23"/>
        </w:rPr>
      </w:pPr>
    </w:p>
    <w:p>
      <w:pPr>
        <w:pStyle w:val="BodyText"/>
        <w:ind w:left="838"/>
      </w:pPr>
      <w:r>
        <w:rPr>
          <w:w w:val="100"/>
        </w:rPr>
        <w:t> </w:t>
      </w:r>
    </w:p>
    <w:p>
      <w:pPr>
        <w:pStyle w:val="BodyText"/>
        <w:spacing w:before="2"/>
        <w:ind w:left="838"/>
      </w:pPr>
      <w:r>
        <w:rPr>
          <w:w w:val="100"/>
        </w:rPr>
        <w:t> </w:t>
      </w:r>
    </w:p>
    <w:p>
      <w:pPr>
        <w:pStyle w:val="BodyText"/>
        <w:spacing w:before="5"/>
        <w:ind w:left="838"/>
      </w:pPr>
      <w:r>
        <w:rPr>
          <w:w w:val="100"/>
        </w:rPr>
        <w:t> </w:t>
      </w:r>
    </w:p>
    <w:p>
      <w:pPr>
        <w:pStyle w:val="BodyText"/>
        <w:spacing w:before="2"/>
        <w:ind w:left="838"/>
      </w:pPr>
      <w:r>
        <w:rPr>
          <w:w w:val="100"/>
        </w:rPr>
        <w:t> </w:t>
      </w:r>
    </w:p>
    <w:p>
      <w:pPr>
        <w:pStyle w:val="BodyText"/>
        <w:spacing w:before="4"/>
        <w:ind w:left="838"/>
      </w:pPr>
      <w:r>
        <w:rPr>
          <w:w w:val="100"/>
        </w:rPr>
        <w:t> </w:t>
      </w:r>
    </w:p>
    <w:p>
      <w:pPr>
        <w:pStyle w:val="BodyText"/>
        <w:spacing w:before="2"/>
        <w:ind w:left="838"/>
      </w:pPr>
      <w:r>
        <w:rPr>
          <w:w w:val="100"/>
        </w:rPr>
        <w:t> </w:t>
      </w:r>
    </w:p>
    <w:p>
      <w:pPr>
        <w:spacing w:after="0"/>
        <w:sectPr>
          <w:headerReference w:type="even" r:id="rId5"/>
          <w:headerReference w:type="default" r:id="rId6"/>
          <w:footerReference w:type="even" r:id="rId7"/>
          <w:footerReference w:type="default" r:id="rId8"/>
          <w:pgSz w:w="11910" w:h="16840"/>
          <w:pgMar w:header="1138" w:footer="1141" w:top="1320" w:bottom="1340" w:left="580" w:right="580"/>
        </w:sectPr>
      </w:pPr>
    </w:p>
    <w:p>
      <w:pPr>
        <w:pStyle w:val="BodyText"/>
        <w:rPr>
          <w:sz w:val="20"/>
        </w:rPr>
      </w:pPr>
    </w:p>
    <w:p>
      <w:pPr>
        <w:pStyle w:val="BodyText"/>
        <w:spacing w:before="5"/>
        <w:rPr>
          <w:sz w:val="25"/>
        </w:rPr>
      </w:pPr>
    </w:p>
    <w:p>
      <w:pPr>
        <w:pStyle w:val="Heading1"/>
        <w:tabs>
          <w:tab w:pos="640" w:val="left" w:leader="none"/>
        </w:tabs>
        <w:ind w:right="286"/>
      </w:pPr>
      <w:bookmarkStart w:name="_bookmark0" w:id="3"/>
      <w:bookmarkEnd w:id="3"/>
      <w:r>
        <w:rPr/>
      </w:r>
      <w:r>
        <w:rPr/>
        <w:t>前</w:t>
        <w:tab/>
        <w:t>言</w:t>
      </w:r>
    </w:p>
    <w:p>
      <w:pPr>
        <w:pStyle w:val="BodyText"/>
        <w:spacing w:before="11"/>
        <w:rPr>
          <w:rFonts w:ascii="黑体"/>
          <w:sz w:val="42"/>
        </w:rPr>
      </w:pPr>
    </w:p>
    <w:p>
      <w:pPr>
        <w:pStyle w:val="BodyText"/>
        <w:ind w:left="973"/>
      </w:pPr>
      <w:r>
        <w:rPr/>
        <w:t>本文件按照 GB/T 1.1-2020《标准化工作导则 第 1 部分：标准化文件的结构和起草规则》的规定</w:t>
      </w:r>
    </w:p>
    <w:p>
      <w:pPr>
        <w:pStyle w:val="BodyText"/>
        <w:spacing w:before="5"/>
        <w:ind w:left="552"/>
      </w:pPr>
      <w:r>
        <w:rPr/>
        <w:t>起草。 </w:t>
      </w:r>
    </w:p>
    <w:p>
      <w:pPr>
        <w:pStyle w:val="BodyText"/>
        <w:spacing w:line="244" w:lineRule="auto" w:before="2"/>
        <w:ind w:left="973" w:right="1891"/>
      </w:pPr>
      <w:r>
        <w:rPr>
          <w:spacing w:val="-3"/>
        </w:rPr>
        <w:t>请注意本文件的某些内容可能涉及专利。本文件的发布机构不承担识别专利的责任。本文件由仁天环保科技有限责任公司提出。</w:t>
      </w:r>
      <w:r>
        <w:rPr/>
        <w:t> </w:t>
      </w:r>
    </w:p>
    <w:p>
      <w:pPr>
        <w:pStyle w:val="BodyText"/>
        <w:spacing w:line="265" w:lineRule="exact"/>
        <w:ind w:left="973"/>
      </w:pPr>
      <w:r>
        <w:rPr/>
        <w:t>本文件由湖南省节能研究与综合利用协会归口。 </w:t>
      </w:r>
    </w:p>
    <w:p>
      <w:pPr>
        <w:pStyle w:val="BodyText"/>
        <w:spacing w:line="242" w:lineRule="auto" w:before="2"/>
        <w:ind w:left="552" w:right="841" w:firstLine="420"/>
        <w:jc w:val="both"/>
      </w:pPr>
      <w:r>
        <w:rPr/>
        <w:t>本文件起草单位：仁天环保科技有限责任公司、中南大学资源循环研究院、海南执中企业管理有限公司、湖南精准通检测技术有限公司、绍兴市质量技术监督检测院、湖南省节能研究与综合利用协会。 </w:t>
      </w:r>
    </w:p>
    <w:p>
      <w:pPr>
        <w:pStyle w:val="BodyText"/>
        <w:spacing w:line="242" w:lineRule="auto" w:before="3"/>
        <w:ind w:left="552" w:right="835" w:firstLine="420"/>
      </w:pPr>
      <w:r>
        <w:rPr/>
        <w:t>本文件主要起草人：吴冠军、黄存华、金建军、宋剑飞、王强、周孝云、陈洪锋、杨光耀、何力行、陈艺芬。 </w:t>
      </w:r>
    </w:p>
    <w:p>
      <w:pPr>
        <w:pStyle w:val="BodyText"/>
        <w:spacing w:before="2"/>
        <w:ind w:left="552"/>
      </w:pPr>
      <w:r>
        <w:rPr>
          <w:w w:val="100"/>
        </w:rPr>
        <w:t> </w:t>
      </w:r>
    </w:p>
    <w:p>
      <w:pPr>
        <w:pStyle w:val="BodyText"/>
        <w:spacing w:before="2"/>
        <w:ind w:left="552"/>
      </w:pPr>
      <w:r>
        <w:rPr>
          <w:w w:val="100"/>
        </w:rPr>
        <w:t> </w:t>
      </w:r>
    </w:p>
    <w:p>
      <w:pPr>
        <w:spacing w:after="0"/>
        <w:sectPr>
          <w:pgSz w:w="11910" w:h="16840"/>
          <w:pgMar w:header="1138" w:footer="1141" w:top="1320" w:bottom="1340" w:left="580" w:right="580"/>
        </w:sectPr>
      </w:pPr>
    </w:p>
    <w:p>
      <w:pPr>
        <w:pStyle w:val="BodyText"/>
        <w:rPr>
          <w:sz w:val="20"/>
        </w:rPr>
      </w:pPr>
    </w:p>
    <w:p>
      <w:pPr>
        <w:pStyle w:val="BodyText"/>
        <w:rPr>
          <w:sz w:val="20"/>
        </w:rPr>
      </w:pPr>
    </w:p>
    <w:p>
      <w:pPr>
        <w:pStyle w:val="BodyText"/>
        <w:rPr>
          <w:sz w:val="20"/>
        </w:rPr>
      </w:pPr>
    </w:p>
    <w:p>
      <w:pPr>
        <w:pStyle w:val="BodyText"/>
        <w:rPr>
          <w:sz w:val="18"/>
        </w:rPr>
      </w:pPr>
    </w:p>
    <w:p>
      <w:pPr>
        <w:pStyle w:val="Heading1"/>
        <w:ind w:left="1114"/>
        <w:jc w:val="left"/>
      </w:pPr>
      <w:r>
        <w:rPr/>
        <w:t>绿色设计产品评价技术规范 城镇污泥干化碳化处理一体化装备</w:t>
      </w:r>
    </w:p>
    <w:p>
      <w:pPr>
        <w:pStyle w:val="BodyText"/>
        <w:spacing w:before="8"/>
        <w:rPr>
          <w:rFonts w:ascii="黑体"/>
          <w:sz w:val="43"/>
        </w:rPr>
      </w:pPr>
    </w:p>
    <w:p>
      <w:pPr>
        <w:pStyle w:val="ListParagraph"/>
        <w:numPr>
          <w:ilvl w:val="0"/>
          <w:numId w:val="2"/>
        </w:numPr>
        <w:tabs>
          <w:tab w:pos="1155" w:val="left" w:leader="none"/>
          <w:tab w:pos="1156" w:val="left" w:leader="none"/>
        </w:tabs>
        <w:spacing w:line="240" w:lineRule="auto" w:before="0" w:after="0"/>
        <w:ind w:left="1155" w:right="0" w:hanging="318"/>
        <w:jc w:val="left"/>
        <w:rPr>
          <w:rFonts w:ascii="黑体" w:eastAsia="黑体" w:hint="eastAsia"/>
          <w:sz w:val="21"/>
        </w:rPr>
      </w:pPr>
      <w:bookmarkStart w:name="_bookmark1" w:id="4"/>
      <w:bookmarkEnd w:id="4"/>
      <w:r>
        <w:rPr/>
      </w:r>
      <w:bookmarkStart w:name="_bookmark1" w:id="5"/>
      <w:bookmarkEnd w:id="5"/>
      <w:r>
        <w:rPr>
          <w:rFonts w:ascii="黑体" w:eastAsia="黑体" w:hint="eastAsia"/>
          <w:spacing w:val="-3"/>
          <w:sz w:val="21"/>
        </w:rPr>
        <w:t>范围</w:t>
      </w:r>
    </w:p>
    <w:p>
      <w:pPr>
        <w:pStyle w:val="BodyText"/>
        <w:spacing w:before="1"/>
        <w:rPr>
          <w:rFonts w:ascii="黑体"/>
          <w:sz w:val="19"/>
        </w:rPr>
      </w:pPr>
    </w:p>
    <w:p>
      <w:pPr>
        <w:pStyle w:val="BodyText"/>
        <w:spacing w:line="242" w:lineRule="auto"/>
        <w:ind w:left="838" w:right="558" w:firstLine="420"/>
      </w:pPr>
      <w:r>
        <w:rPr/>
        <w:t>本文件规定了城镇污泥干化碳化处理一体化装备绿色设计产品的术语和定义、评价要求、评价报告框架和评价方法等。 </w:t>
      </w:r>
    </w:p>
    <w:p>
      <w:pPr>
        <w:pStyle w:val="BodyText"/>
        <w:spacing w:line="242" w:lineRule="auto" w:before="1"/>
        <w:ind w:left="838" w:right="546" w:firstLine="420"/>
      </w:pPr>
      <w:r>
        <w:rPr>
          <w:spacing w:val="-8"/>
        </w:rPr>
        <w:t>本文件适用于处理量 </w:t>
      </w:r>
      <w:r>
        <w:rPr/>
        <w:t>30 t/d～150 t/d</w:t>
      </w:r>
      <w:r>
        <w:rPr>
          <w:spacing w:val="-10"/>
        </w:rPr>
        <w:t> 的城镇污泥</w:t>
      </w:r>
      <w:r>
        <w:rPr>
          <w:spacing w:val="-3"/>
        </w:rPr>
        <w:t>（</w:t>
      </w:r>
      <w:r>
        <w:rPr>
          <w:spacing w:val="-1"/>
        </w:rPr>
        <w:t>含水率</w:t>
      </w:r>
      <w:r>
        <w:rPr/>
        <w:t>≤85</w:t>
      </w:r>
      <w:r>
        <w:rPr>
          <w:rFonts w:ascii="Times New Roman" w:hAnsi="Times New Roman" w:eastAsia="Times New Roman"/>
        </w:rPr>
        <w:t>%</w:t>
      </w:r>
      <w:r>
        <w:rPr/>
        <w:t>）</w:t>
      </w:r>
      <w:r>
        <w:rPr>
          <w:spacing w:val="-3"/>
        </w:rPr>
        <w:t>干化碳化处理一体化装备的绿色设计产品评价。</w:t>
      </w:r>
      <w:r>
        <w:rPr/>
        <w:t> </w:t>
      </w:r>
    </w:p>
    <w:p>
      <w:pPr>
        <w:pStyle w:val="BodyText"/>
        <w:spacing w:before="11"/>
        <w:rPr>
          <w:sz w:val="18"/>
        </w:rPr>
      </w:pPr>
    </w:p>
    <w:p>
      <w:pPr>
        <w:pStyle w:val="ListParagraph"/>
        <w:numPr>
          <w:ilvl w:val="0"/>
          <w:numId w:val="2"/>
        </w:numPr>
        <w:tabs>
          <w:tab w:pos="1155" w:val="left" w:leader="none"/>
          <w:tab w:pos="1156" w:val="left" w:leader="none"/>
        </w:tabs>
        <w:spacing w:line="240" w:lineRule="auto" w:before="0" w:after="0"/>
        <w:ind w:left="1155" w:right="0" w:hanging="318"/>
        <w:jc w:val="left"/>
        <w:rPr>
          <w:rFonts w:ascii="黑体" w:eastAsia="黑体" w:hint="eastAsia"/>
          <w:sz w:val="21"/>
        </w:rPr>
      </w:pPr>
      <w:bookmarkStart w:name="_bookmark2" w:id="6"/>
      <w:bookmarkEnd w:id="6"/>
      <w:r>
        <w:rPr/>
      </w:r>
      <w:bookmarkStart w:name="_bookmark2" w:id="7"/>
      <w:bookmarkEnd w:id="7"/>
      <w:r>
        <w:rPr>
          <w:rFonts w:ascii="黑体" w:eastAsia="黑体" w:hint="eastAsia"/>
          <w:spacing w:val="-3"/>
          <w:sz w:val="21"/>
        </w:rPr>
        <w:t>规范性引用文件</w:t>
      </w:r>
    </w:p>
    <w:p>
      <w:pPr>
        <w:pStyle w:val="BodyText"/>
        <w:spacing w:before="12"/>
        <w:rPr>
          <w:rFonts w:ascii="黑体"/>
          <w:sz w:val="18"/>
        </w:rPr>
      </w:pPr>
    </w:p>
    <w:p>
      <w:pPr>
        <w:pStyle w:val="BodyText"/>
        <w:spacing w:line="242" w:lineRule="auto"/>
        <w:ind w:left="838" w:right="555" w:firstLine="420"/>
        <w:jc w:val="both"/>
      </w:pPr>
      <w:r>
        <w:rPr/>
        <w:t>下列文件中的内容通过文中的规范性引用而构成本文件必不可少的条款。其中，注日期的引用文件，仅该日期对应的版本适用于本文件；不注日期的引用文件，其最新版本（包括所有的修改单）适用于本文件。 </w:t>
      </w:r>
    </w:p>
    <w:p>
      <w:pPr>
        <w:pStyle w:val="BodyText"/>
        <w:spacing w:line="242" w:lineRule="auto" w:before="3"/>
        <w:ind w:left="1258" w:right="6072"/>
      </w:pPr>
      <w:r>
        <w:rPr/>
        <w:t>GB 2894  安全标志及其使用导则GB/T 4208 外壳防护等（IP 代码） </w:t>
      </w:r>
    </w:p>
    <w:p>
      <w:pPr>
        <w:pStyle w:val="BodyText"/>
        <w:spacing w:before="1"/>
        <w:ind w:left="1258"/>
      </w:pPr>
      <w:r>
        <w:rPr/>
        <w:t>GB/T 7251.1 低压成套开关设备和控制设备 第 1 部分：总则 </w:t>
      </w:r>
    </w:p>
    <w:p>
      <w:pPr>
        <w:pStyle w:val="BodyText"/>
        <w:spacing w:line="244" w:lineRule="auto" w:before="3"/>
        <w:ind w:left="1258" w:right="1922"/>
      </w:pPr>
      <w:r>
        <w:rPr/>
        <w:t>GB/T 8196  机械安全 防护装置 固定式和活动式防护装置的设计与制造一般要求GB 8978 污水综合排放标准 </w:t>
      </w:r>
    </w:p>
    <w:p>
      <w:pPr>
        <w:pStyle w:val="BodyText"/>
        <w:spacing w:line="244" w:lineRule="auto"/>
        <w:ind w:left="1258" w:right="5388"/>
      </w:pPr>
      <w:r>
        <w:rPr/>
        <w:t>GB 12348  工业企业厂界环境噪声排放标准GB 14554  恶臭污染物排放标准 </w:t>
      </w:r>
    </w:p>
    <w:p>
      <w:pPr>
        <w:pStyle w:val="BodyText"/>
        <w:spacing w:line="265" w:lineRule="exact"/>
        <w:ind w:left="1258"/>
      </w:pPr>
      <w:r>
        <w:rPr/>
        <w:t>GB 16297 大气污染物综合排放标准 </w:t>
      </w:r>
    </w:p>
    <w:p>
      <w:pPr>
        <w:pStyle w:val="BodyText"/>
        <w:spacing w:line="242" w:lineRule="auto"/>
        <w:ind w:left="1258" w:right="4757"/>
      </w:pPr>
      <w:r>
        <w:rPr/>
        <w:t>GB 17167  用能单位能源计量器具配备和管理通则GB 18485 生活垃圾焚烧污染控制标准 </w:t>
      </w:r>
    </w:p>
    <w:p>
      <w:pPr>
        <w:pStyle w:val="BodyText"/>
        <w:spacing w:line="244" w:lineRule="auto"/>
        <w:ind w:left="1258" w:right="5177"/>
      </w:pPr>
      <w:r>
        <w:rPr/>
        <w:t>GB/T 18918 城镇污水处理厂污染物排放标准GB/T 19001 质量管理体系 要求 </w:t>
      </w:r>
    </w:p>
    <w:p>
      <w:pPr>
        <w:pStyle w:val="BodyText"/>
        <w:spacing w:line="265" w:lineRule="exact"/>
        <w:ind w:left="1258"/>
      </w:pPr>
      <w:r>
        <w:rPr/>
        <w:t>GB/T 19517 国家电气设备安全技术规范 </w:t>
      </w:r>
    </w:p>
    <w:p>
      <w:pPr>
        <w:pStyle w:val="BodyText"/>
        <w:spacing w:line="242" w:lineRule="auto" w:before="4"/>
        <w:ind w:left="1258" w:right="4968"/>
      </w:pPr>
      <w:r>
        <w:rPr/>
        <w:t>GB 19804 焊接结构的一般尺寸公差和形位公差GB/T 22590 轧钢加热炉用耐火浇注料 </w:t>
      </w:r>
    </w:p>
    <w:p>
      <w:pPr>
        <w:pStyle w:val="BodyText"/>
        <w:spacing w:line="242" w:lineRule="auto" w:before="1"/>
        <w:ind w:left="1258" w:right="4968"/>
      </w:pPr>
      <w:r>
        <w:rPr/>
        <w:t>GB/T</w:t>
      </w:r>
      <w:r>
        <w:rPr>
          <w:spacing w:val="9"/>
        </w:rPr>
        <w:t> </w:t>
      </w:r>
      <w:r>
        <w:rPr/>
        <w:t>23331</w:t>
      </w:r>
      <w:r>
        <w:rPr>
          <w:spacing w:val="-3"/>
        </w:rPr>
        <w:t>  能源管理体系 要求及使用指南</w:t>
      </w:r>
      <w:r>
        <w:rPr/>
        <w:t>GB/T</w:t>
      </w:r>
      <w:r>
        <w:rPr>
          <w:spacing w:val="9"/>
        </w:rPr>
        <w:t> </w:t>
      </w:r>
      <w:r>
        <w:rPr/>
        <w:t>24001</w:t>
      </w:r>
      <w:r>
        <w:rPr>
          <w:spacing w:val="-3"/>
        </w:rPr>
        <w:t>  环境管理体系 要求及使用指南</w:t>
      </w:r>
      <w:r>
        <w:rPr/>
        <w:t>GB/T</w:t>
      </w:r>
      <w:r>
        <w:rPr>
          <w:spacing w:val="4"/>
        </w:rPr>
        <w:t> </w:t>
      </w:r>
      <w:r>
        <w:rPr/>
        <w:t>24040</w:t>
      </w:r>
      <w:r>
        <w:rPr>
          <w:spacing w:val="-3"/>
        </w:rPr>
        <w:t> 环境管理生命周期评价原则与框架</w:t>
      </w:r>
      <w:r>
        <w:rPr/>
        <w:t>GB/T</w:t>
      </w:r>
      <w:r>
        <w:rPr>
          <w:spacing w:val="4"/>
        </w:rPr>
        <w:t> </w:t>
      </w:r>
      <w:r>
        <w:rPr/>
        <w:t>24044</w:t>
      </w:r>
      <w:r>
        <w:rPr>
          <w:spacing w:val="-3"/>
        </w:rPr>
        <w:t> 环境管理生命周期评价要求与指南</w:t>
      </w:r>
      <w:r>
        <w:rPr/>
        <w:t>GB/T</w:t>
      </w:r>
      <w:r>
        <w:rPr>
          <w:spacing w:val="1"/>
        </w:rPr>
        <w:t> </w:t>
      </w:r>
      <w:r>
        <w:rPr/>
        <w:t>24256</w:t>
      </w:r>
      <w:r>
        <w:rPr>
          <w:spacing w:val="-3"/>
        </w:rPr>
        <w:t> 产品生态设计通则</w:t>
      </w:r>
      <w:r>
        <w:rPr/>
        <w:t> </w:t>
      </w:r>
    </w:p>
    <w:p>
      <w:pPr>
        <w:pStyle w:val="BodyText"/>
        <w:spacing w:line="244" w:lineRule="auto" w:before="2"/>
        <w:ind w:left="1258" w:right="4233"/>
      </w:pPr>
      <w:r>
        <w:rPr/>
        <w:t>GB/T 24600  城镇污水处理厂污泥处置 土地改良用泥质GB 24789 用水单位水计量器具配备和管理通则 </w:t>
      </w:r>
    </w:p>
    <w:p>
      <w:pPr>
        <w:pStyle w:val="BodyText"/>
        <w:spacing w:line="244" w:lineRule="auto"/>
        <w:ind w:left="1258" w:right="4653"/>
      </w:pPr>
      <w:r>
        <w:rPr/>
        <w:t>GB/T 25031 城镇污水处理厂污泥处置 制砖用泥质GB/T 32161 生态设计产品评价通则 </w:t>
      </w:r>
    </w:p>
    <w:p>
      <w:pPr>
        <w:pStyle w:val="BodyText"/>
        <w:spacing w:line="266" w:lineRule="exact"/>
        <w:ind w:left="1258"/>
      </w:pPr>
      <w:r>
        <w:rPr/>
        <w:t>GB/T 32162 生态设计产品标识 </w:t>
      </w:r>
    </w:p>
    <w:p>
      <w:pPr>
        <w:pStyle w:val="BodyText"/>
        <w:spacing w:before="1"/>
        <w:ind w:left="1258"/>
      </w:pPr>
      <w:r>
        <w:rPr/>
        <w:t>GB/T 37400.12 重型机械通用技术条件 第 12 部分：涂装 </w:t>
      </w:r>
    </w:p>
    <w:p>
      <w:pPr>
        <w:pStyle w:val="BodyText"/>
        <w:spacing w:line="244" w:lineRule="auto" w:before="2"/>
        <w:ind w:left="1258" w:right="1813"/>
      </w:pPr>
      <w:r>
        <w:rPr/>
        <w:t>GB/T 37910.1 焊缝无损检测 射线检测验收等级 第 1 部分：钢、镍、钛及其合金GB/T 45001 职业健康安全管理体系 要求及使用指南 </w:t>
      </w:r>
    </w:p>
    <w:p>
      <w:pPr>
        <w:pStyle w:val="BodyText"/>
        <w:spacing w:line="244" w:lineRule="auto"/>
        <w:ind w:left="1258" w:right="4336"/>
      </w:pPr>
      <w:r>
        <w:rPr/>
        <w:t>GB 50169 电气装置安装工程接地装置施工及验收规范CJ/T 96 生活垃圾化学特性通用检测方法 </w:t>
      </w:r>
    </w:p>
    <w:p>
      <w:pPr>
        <w:pStyle w:val="BodyText"/>
        <w:spacing w:line="265" w:lineRule="exact"/>
        <w:ind w:left="1258"/>
      </w:pPr>
      <w:r>
        <w:rPr/>
        <w:t>CJ/T 221 城市污水处理厂污泥检验方法 </w:t>
      </w:r>
    </w:p>
    <w:p>
      <w:pPr>
        <w:pStyle w:val="BodyText"/>
        <w:ind w:left="1258"/>
      </w:pPr>
      <w:r>
        <w:rPr/>
        <w:t>JB/T 5936 工程机械 机械加工件通用技术条件 </w:t>
      </w:r>
    </w:p>
    <w:p>
      <w:pPr>
        <w:spacing w:after="0"/>
        <w:sectPr>
          <w:footerReference w:type="default" r:id="rId9"/>
          <w:footerReference w:type="even" r:id="rId10"/>
          <w:pgSz w:w="11910" w:h="16840"/>
          <w:pgMar w:footer="1141" w:header="1138" w:top="1320" w:bottom="1340" w:left="580" w:right="580"/>
          <w:pgNumType w:start="1"/>
        </w:sectPr>
      </w:pPr>
    </w:p>
    <w:p>
      <w:pPr>
        <w:pStyle w:val="BodyText"/>
        <w:spacing w:before="11"/>
        <w:rPr>
          <w:sz w:val="22"/>
        </w:rPr>
      </w:pPr>
    </w:p>
    <w:p>
      <w:pPr>
        <w:pStyle w:val="BodyText"/>
        <w:spacing w:before="72"/>
        <w:ind w:left="973"/>
      </w:pPr>
      <w:r>
        <w:rPr/>
        <w:t>JB/T 5943 工程机械 焊接件通用技术条件 </w:t>
      </w:r>
    </w:p>
    <w:p>
      <w:pPr>
        <w:pStyle w:val="BodyText"/>
        <w:spacing w:before="11"/>
        <w:rPr>
          <w:sz w:val="18"/>
        </w:rPr>
      </w:pPr>
    </w:p>
    <w:p>
      <w:pPr>
        <w:pStyle w:val="ListParagraph"/>
        <w:numPr>
          <w:ilvl w:val="0"/>
          <w:numId w:val="2"/>
        </w:numPr>
        <w:tabs>
          <w:tab w:pos="869" w:val="left" w:leader="none"/>
          <w:tab w:pos="871" w:val="left" w:leader="none"/>
        </w:tabs>
        <w:spacing w:line="240" w:lineRule="auto" w:before="0" w:after="0"/>
        <w:ind w:left="870" w:right="0" w:hanging="319"/>
        <w:jc w:val="left"/>
        <w:rPr>
          <w:rFonts w:ascii="黑体" w:eastAsia="黑体" w:hint="eastAsia"/>
          <w:sz w:val="21"/>
        </w:rPr>
      </w:pPr>
      <w:bookmarkStart w:name="_bookmark3" w:id="8"/>
      <w:bookmarkEnd w:id="8"/>
      <w:r>
        <w:rPr/>
      </w:r>
      <w:bookmarkStart w:name="_bookmark3" w:id="9"/>
      <w:bookmarkEnd w:id="9"/>
      <w:r>
        <w:rPr>
          <w:rFonts w:ascii="黑体" w:eastAsia="黑体" w:hint="eastAsia"/>
          <w:spacing w:val="-3"/>
          <w:sz w:val="21"/>
        </w:rPr>
        <w:t>术语和定义</w:t>
      </w:r>
    </w:p>
    <w:p>
      <w:pPr>
        <w:pStyle w:val="BodyText"/>
        <w:spacing w:before="7"/>
        <w:rPr>
          <w:rFonts w:ascii="黑体"/>
          <w:sz w:val="13"/>
        </w:rPr>
      </w:pPr>
    </w:p>
    <w:p>
      <w:pPr>
        <w:pStyle w:val="BodyText"/>
        <w:spacing w:before="71"/>
        <w:ind w:left="973"/>
      </w:pPr>
      <w:r>
        <w:rPr/>
        <w:t>GB/T 24040 和 GB/T 32161 界定的以及下列术语和定义适用于本文件。 </w:t>
      </w:r>
    </w:p>
    <w:p>
      <w:pPr>
        <w:pStyle w:val="ListParagraph"/>
        <w:numPr>
          <w:ilvl w:val="1"/>
          <w:numId w:val="2"/>
        </w:numPr>
        <w:tabs>
          <w:tab w:pos="871" w:val="left" w:leader="none"/>
        </w:tabs>
        <w:spacing w:line="240" w:lineRule="auto" w:before="123" w:after="0"/>
        <w:ind w:left="870" w:right="0" w:hanging="319"/>
        <w:jc w:val="left"/>
        <w:rPr>
          <w:rFonts w:ascii="黑体"/>
          <w:sz w:val="21"/>
        </w:rPr>
      </w:pPr>
      <w:r>
        <w:rPr>
          <w:rFonts w:ascii="黑体"/>
          <w:sz w:val="21"/>
        </w:rPr>
        <w:t>3.1</w:t>
      </w:r>
    </w:p>
    <w:p>
      <w:pPr>
        <w:pStyle w:val="BodyText"/>
        <w:spacing w:before="124"/>
        <w:ind w:left="973"/>
        <w:rPr>
          <w:rFonts w:ascii="黑体" w:eastAsia="黑体" w:hint="eastAsia"/>
        </w:rPr>
      </w:pPr>
      <w:r>
        <w:rPr>
          <w:rFonts w:ascii="黑体" w:eastAsia="黑体" w:hint="eastAsia"/>
        </w:rPr>
        <w:t>绿色设计 green-design</w:t>
      </w:r>
    </w:p>
    <w:p>
      <w:pPr>
        <w:pStyle w:val="BodyText"/>
        <w:spacing w:before="122"/>
        <w:ind w:left="973"/>
      </w:pPr>
      <w:r>
        <w:rPr/>
        <w:t>按照全生命周期的理念，在产品设计开发阶段系统考虑原材料选用、生产、销售、使用、回收、</w:t>
      </w:r>
    </w:p>
    <w:p>
      <w:pPr>
        <w:pStyle w:val="BodyText"/>
        <w:spacing w:line="242" w:lineRule="auto" w:before="5"/>
        <w:ind w:left="552" w:right="841"/>
      </w:pPr>
      <w:r>
        <w:rPr/>
        <w:t>处理等各个环节对资源环境造成的影响，力求产品在全生命周期中最大限度降低资源消耗、尽可能少用或不用含有有害物质的原材料，减少污染物产生和排放，从而实现环境保护的活动。 </w:t>
      </w:r>
    </w:p>
    <w:p>
      <w:pPr>
        <w:pStyle w:val="BodyText"/>
        <w:spacing w:before="1"/>
        <w:ind w:left="973"/>
      </w:pPr>
      <w:r>
        <w:rPr/>
        <w:t>[来源：GB/T 32161-2015，3.2，有修改] </w:t>
      </w:r>
    </w:p>
    <w:p>
      <w:pPr>
        <w:pStyle w:val="ListParagraph"/>
        <w:numPr>
          <w:ilvl w:val="1"/>
          <w:numId w:val="2"/>
        </w:numPr>
        <w:tabs>
          <w:tab w:pos="871" w:val="left" w:leader="none"/>
        </w:tabs>
        <w:spacing w:line="240" w:lineRule="auto" w:before="122" w:after="0"/>
        <w:ind w:left="870" w:right="0" w:hanging="319"/>
        <w:jc w:val="left"/>
        <w:rPr>
          <w:rFonts w:ascii="黑体"/>
          <w:sz w:val="21"/>
        </w:rPr>
      </w:pPr>
      <w:r>
        <w:rPr>
          <w:rFonts w:ascii="黑体"/>
          <w:sz w:val="21"/>
        </w:rPr>
        <w:t>3.2</w:t>
      </w:r>
    </w:p>
    <w:p>
      <w:pPr>
        <w:pStyle w:val="BodyText"/>
        <w:spacing w:before="125"/>
        <w:ind w:left="973"/>
        <w:rPr>
          <w:rFonts w:ascii="黑体" w:eastAsia="黑体" w:hint="eastAsia"/>
        </w:rPr>
      </w:pPr>
      <w:r>
        <w:rPr>
          <w:rFonts w:ascii="黑体" w:eastAsia="黑体" w:hint="eastAsia"/>
        </w:rPr>
        <w:t>绿色设计产品 green-design product</w:t>
      </w:r>
    </w:p>
    <w:p>
      <w:pPr>
        <w:pStyle w:val="BodyText"/>
        <w:spacing w:line="242" w:lineRule="auto" w:before="122"/>
        <w:ind w:left="973" w:right="5985"/>
      </w:pPr>
      <w:r>
        <w:rPr>
          <w:spacing w:val="-3"/>
        </w:rPr>
        <w:t>符合绿色设计理念和评价要求的产品。  </w:t>
      </w:r>
      <w:r>
        <w:rPr>
          <w:spacing w:val="-1"/>
        </w:rPr>
        <w:t>[来源：</w:t>
      </w:r>
      <w:r>
        <w:rPr/>
        <w:t>GB/T</w:t>
      </w:r>
      <w:r>
        <w:rPr>
          <w:spacing w:val="3"/>
        </w:rPr>
        <w:t> </w:t>
      </w:r>
      <w:r>
        <w:rPr/>
        <w:t>32161-2015，3.3</w:t>
      </w:r>
      <w:r>
        <w:rPr>
          <w:spacing w:val="-2"/>
        </w:rPr>
        <w:t>，有修改]</w:t>
      </w:r>
    </w:p>
    <w:p>
      <w:pPr>
        <w:pStyle w:val="ListParagraph"/>
        <w:numPr>
          <w:ilvl w:val="1"/>
          <w:numId w:val="2"/>
        </w:numPr>
        <w:tabs>
          <w:tab w:pos="871" w:val="left" w:leader="none"/>
        </w:tabs>
        <w:spacing w:line="240" w:lineRule="auto" w:before="122" w:after="0"/>
        <w:ind w:left="870" w:right="0" w:hanging="319"/>
        <w:jc w:val="left"/>
        <w:rPr>
          <w:rFonts w:ascii="黑体"/>
          <w:sz w:val="21"/>
        </w:rPr>
      </w:pPr>
      <w:r>
        <w:rPr>
          <w:rFonts w:ascii="黑体"/>
          <w:sz w:val="21"/>
        </w:rPr>
        <w:t>3.3</w:t>
      </w:r>
    </w:p>
    <w:p>
      <w:pPr>
        <w:pStyle w:val="BodyText"/>
        <w:spacing w:before="122"/>
        <w:ind w:left="973"/>
        <w:rPr>
          <w:rFonts w:ascii="黑体" w:eastAsia="黑体" w:hint="eastAsia"/>
        </w:rPr>
      </w:pPr>
      <w:r>
        <w:rPr>
          <w:rFonts w:ascii="黑体" w:eastAsia="黑体" w:hint="eastAsia"/>
          <w:spacing w:val="14"/>
        </w:rPr>
        <w:t>城镇污泥干化碳化处理一体化装备 </w:t>
      </w:r>
      <w:r>
        <w:rPr>
          <w:rFonts w:ascii="黑体" w:eastAsia="黑体" w:hint="eastAsia"/>
        </w:rPr>
        <w:t>integrated</w:t>
      </w:r>
      <w:r>
        <w:rPr>
          <w:rFonts w:ascii="黑体" w:eastAsia="黑体" w:hint="eastAsia"/>
          <w:spacing w:val="62"/>
        </w:rPr>
        <w:t> </w:t>
      </w:r>
      <w:r>
        <w:rPr>
          <w:rFonts w:ascii="黑体" w:eastAsia="黑体" w:hint="eastAsia"/>
        </w:rPr>
        <w:t>equipment</w:t>
      </w:r>
      <w:r>
        <w:rPr>
          <w:rFonts w:ascii="黑体" w:eastAsia="黑体" w:hint="eastAsia"/>
          <w:spacing w:val="62"/>
        </w:rPr>
        <w:t> </w:t>
      </w:r>
      <w:r>
        <w:rPr>
          <w:rFonts w:ascii="黑体" w:eastAsia="黑体" w:hint="eastAsia"/>
        </w:rPr>
        <w:t>for</w:t>
      </w:r>
      <w:r>
        <w:rPr>
          <w:rFonts w:ascii="黑体" w:eastAsia="黑体" w:hint="eastAsia"/>
          <w:spacing w:val="62"/>
        </w:rPr>
        <w:t> </w:t>
      </w:r>
      <w:r>
        <w:rPr>
          <w:rFonts w:ascii="黑体" w:eastAsia="黑体" w:hint="eastAsia"/>
        </w:rPr>
        <w:t>urban</w:t>
      </w:r>
      <w:r>
        <w:rPr>
          <w:rFonts w:ascii="黑体" w:eastAsia="黑体" w:hint="eastAsia"/>
          <w:spacing w:val="62"/>
        </w:rPr>
        <w:t> </w:t>
      </w:r>
      <w:r>
        <w:rPr>
          <w:rFonts w:ascii="黑体" w:eastAsia="黑体" w:hint="eastAsia"/>
        </w:rPr>
        <w:t>sludge</w:t>
      </w:r>
      <w:r>
        <w:rPr>
          <w:rFonts w:ascii="黑体" w:eastAsia="黑体" w:hint="eastAsia"/>
          <w:spacing w:val="62"/>
        </w:rPr>
        <w:t> </w:t>
      </w:r>
      <w:r>
        <w:rPr>
          <w:rFonts w:ascii="黑体" w:eastAsia="黑体" w:hint="eastAsia"/>
        </w:rPr>
        <w:t>drying</w:t>
      </w:r>
      <w:r>
        <w:rPr>
          <w:rFonts w:ascii="黑体" w:eastAsia="黑体" w:hint="eastAsia"/>
          <w:spacing w:val="62"/>
        </w:rPr>
        <w:t> </w:t>
      </w:r>
      <w:r>
        <w:rPr>
          <w:rFonts w:ascii="黑体" w:eastAsia="黑体" w:hint="eastAsia"/>
        </w:rPr>
        <w:t>and</w:t>
      </w:r>
    </w:p>
    <w:p>
      <w:pPr>
        <w:pStyle w:val="BodyText"/>
        <w:spacing w:before="4"/>
        <w:ind w:left="552"/>
        <w:rPr>
          <w:rFonts w:ascii="黑体"/>
        </w:rPr>
      </w:pPr>
      <w:r>
        <w:rPr>
          <w:rFonts w:ascii="黑体"/>
        </w:rPr>
        <w:t>carbonization treatment</w:t>
      </w:r>
    </w:p>
    <w:p>
      <w:pPr>
        <w:pStyle w:val="BodyText"/>
        <w:spacing w:line="244" w:lineRule="auto" w:before="123"/>
        <w:ind w:left="552" w:right="774" w:firstLine="420"/>
      </w:pPr>
      <w:r>
        <w:rPr/>
        <w:t>利用热能将污泥干化脱水减容，在缺氧或无氧条件下，实现有机物碳化并将含水率降至 10</w:t>
      </w:r>
      <w:r>
        <w:rPr>
          <w:rFonts w:ascii="Times New Roman" w:eastAsia="Times New Roman"/>
        </w:rPr>
        <w:t>%</w:t>
      </w:r>
      <w:r>
        <w:rPr/>
        <w:t>及以下的一体化智能控制运维装备。 </w:t>
      </w:r>
    </w:p>
    <w:p>
      <w:pPr>
        <w:pStyle w:val="ListParagraph"/>
        <w:numPr>
          <w:ilvl w:val="1"/>
          <w:numId w:val="2"/>
        </w:numPr>
        <w:tabs>
          <w:tab w:pos="871" w:val="left" w:leader="none"/>
        </w:tabs>
        <w:spacing w:line="240" w:lineRule="auto" w:before="115" w:after="0"/>
        <w:ind w:left="870" w:right="0" w:hanging="319"/>
        <w:jc w:val="left"/>
        <w:rPr>
          <w:rFonts w:ascii="黑体"/>
          <w:sz w:val="21"/>
        </w:rPr>
      </w:pPr>
      <w:r>
        <w:rPr>
          <w:rFonts w:ascii="黑体"/>
          <w:sz w:val="21"/>
        </w:rPr>
        <w:t>3.4</w:t>
      </w:r>
    </w:p>
    <w:p>
      <w:pPr>
        <w:pStyle w:val="BodyText"/>
        <w:spacing w:before="125"/>
        <w:ind w:left="973"/>
        <w:rPr>
          <w:rFonts w:ascii="黑体" w:eastAsia="黑体" w:hint="eastAsia"/>
        </w:rPr>
      </w:pPr>
      <w:r>
        <w:rPr>
          <w:rFonts w:ascii="黑体" w:eastAsia="黑体" w:hint="eastAsia"/>
        </w:rPr>
        <w:t>城镇污水处理厂污泥 sludge from municipal wastewater treatment plant</w:t>
      </w:r>
    </w:p>
    <w:p>
      <w:pPr>
        <w:pStyle w:val="BodyText"/>
        <w:spacing w:line="244" w:lineRule="auto" w:before="122"/>
        <w:ind w:left="552" w:right="843" w:firstLine="420"/>
      </w:pPr>
      <w:r>
        <w:rPr/>
        <w:t>城镇污水处理厂在污水净化处理过程中产生的含水率不同的半固态或固态物质，不包括栅渣、浮渣和沉砂池砂砾。 </w:t>
      </w:r>
    </w:p>
    <w:p>
      <w:pPr>
        <w:pStyle w:val="BodyText"/>
        <w:spacing w:before="6"/>
        <w:rPr>
          <w:sz w:val="18"/>
        </w:rPr>
      </w:pPr>
    </w:p>
    <w:p>
      <w:pPr>
        <w:pStyle w:val="ListParagraph"/>
        <w:numPr>
          <w:ilvl w:val="0"/>
          <w:numId w:val="2"/>
        </w:numPr>
        <w:tabs>
          <w:tab w:pos="869" w:val="left" w:leader="none"/>
          <w:tab w:pos="871" w:val="left" w:leader="none"/>
        </w:tabs>
        <w:spacing w:line="240" w:lineRule="auto" w:before="0" w:after="0"/>
        <w:ind w:left="870" w:right="0" w:hanging="319"/>
        <w:jc w:val="left"/>
        <w:rPr>
          <w:rFonts w:ascii="黑体" w:eastAsia="黑体" w:hint="eastAsia"/>
          <w:sz w:val="21"/>
        </w:rPr>
      </w:pPr>
      <w:bookmarkStart w:name="_bookmark4" w:id="10"/>
      <w:bookmarkEnd w:id="10"/>
      <w:r>
        <w:rPr/>
      </w:r>
      <w:bookmarkStart w:name="_bookmark4" w:id="11"/>
      <w:bookmarkEnd w:id="11"/>
      <w:r>
        <w:rPr>
          <w:rFonts w:ascii="黑体" w:eastAsia="黑体" w:hint="eastAsia"/>
          <w:spacing w:val="-3"/>
          <w:sz w:val="21"/>
        </w:rPr>
        <w:t>评价要求</w:t>
      </w:r>
    </w:p>
    <w:p>
      <w:pPr>
        <w:pStyle w:val="BodyText"/>
        <w:spacing w:before="1"/>
        <w:rPr>
          <w:rFonts w:ascii="黑体"/>
          <w:sz w:val="19"/>
        </w:rPr>
      </w:pPr>
    </w:p>
    <w:p>
      <w:pPr>
        <w:pStyle w:val="ListParagraph"/>
        <w:numPr>
          <w:ilvl w:val="1"/>
          <w:numId w:val="2"/>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生产企业要求</w:t>
      </w:r>
    </w:p>
    <w:p>
      <w:pPr>
        <w:pStyle w:val="BodyText"/>
        <w:spacing w:before="122"/>
        <w:ind w:left="973"/>
      </w:pPr>
      <w:r>
        <w:rPr/>
        <w:t>产品生产企业应满足以下要求：</w:t>
      </w:r>
    </w:p>
    <w:p>
      <w:pPr>
        <w:pStyle w:val="ListParagraph"/>
        <w:numPr>
          <w:ilvl w:val="2"/>
          <w:numId w:val="2"/>
        </w:numPr>
        <w:tabs>
          <w:tab w:pos="1311" w:val="left" w:leader="none"/>
        </w:tabs>
        <w:spacing w:line="240" w:lineRule="auto" w:before="5" w:after="0"/>
        <w:ind w:left="1310" w:right="0" w:hanging="319"/>
        <w:jc w:val="left"/>
        <w:rPr>
          <w:sz w:val="21"/>
        </w:rPr>
      </w:pPr>
      <w:r>
        <w:rPr>
          <w:spacing w:val="-27"/>
          <w:sz w:val="21"/>
        </w:rPr>
        <w:t>近 </w:t>
      </w:r>
      <w:r>
        <w:rPr>
          <w:sz w:val="21"/>
        </w:rPr>
        <w:t>3</w:t>
      </w:r>
      <w:r>
        <w:rPr>
          <w:spacing w:val="-9"/>
          <w:sz w:val="21"/>
        </w:rPr>
        <w:t> 年无重大安全和环境污染事故；</w:t>
      </w:r>
      <w:r>
        <w:rPr>
          <w:sz w:val="21"/>
        </w:rPr>
        <w:t> </w:t>
      </w:r>
    </w:p>
    <w:p>
      <w:pPr>
        <w:pStyle w:val="ListParagraph"/>
        <w:numPr>
          <w:ilvl w:val="2"/>
          <w:numId w:val="2"/>
        </w:numPr>
        <w:tabs>
          <w:tab w:pos="1311" w:val="left" w:leader="none"/>
        </w:tabs>
        <w:spacing w:line="242" w:lineRule="auto" w:before="2" w:after="0"/>
        <w:ind w:left="1412" w:right="831" w:hanging="420"/>
        <w:jc w:val="both"/>
        <w:rPr>
          <w:sz w:val="21"/>
        </w:rPr>
      </w:pPr>
      <w:r>
        <w:rPr>
          <w:spacing w:val="-26"/>
          <w:sz w:val="21"/>
        </w:rPr>
        <w:t>按 </w:t>
      </w:r>
      <w:r>
        <w:rPr>
          <w:sz w:val="21"/>
        </w:rPr>
        <w:t>GB/T</w:t>
      </w:r>
      <w:r>
        <w:rPr>
          <w:spacing w:val="36"/>
          <w:sz w:val="21"/>
        </w:rPr>
        <w:t> </w:t>
      </w:r>
      <w:r>
        <w:rPr>
          <w:sz w:val="21"/>
        </w:rPr>
        <w:t>24001、GB/T</w:t>
      </w:r>
      <w:r>
        <w:rPr>
          <w:spacing w:val="36"/>
          <w:sz w:val="21"/>
        </w:rPr>
        <w:t> </w:t>
      </w:r>
      <w:r>
        <w:rPr>
          <w:sz w:val="21"/>
        </w:rPr>
        <w:t>19001</w:t>
      </w:r>
      <w:r>
        <w:rPr>
          <w:spacing w:val="-34"/>
          <w:sz w:val="21"/>
        </w:rPr>
        <w:t> 和 </w:t>
      </w:r>
      <w:r>
        <w:rPr>
          <w:sz w:val="21"/>
        </w:rPr>
        <w:t>GB/T</w:t>
      </w:r>
      <w:r>
        <w:rPr>
          <w:spacing w:val="33"/>
          <w:sz w:val="21"/>
        </w:rPr>
        <w:t> </w:t>
      </w:r>
      <w:r>
        <w:rPr>
          <w:sz w:val="21"/>
        </w:rPr>
        <w:t>45001</w:t>
      </w:r>
      <w:r>
        <w:rPr>
          <w:spacing w:val="-8"/>
          <w:sz w:val="21"/>
        </w:rPr>
        <w:t> 分别建立并运行环境管理体系、质量管理体系和</w:t>
      </w:r>
      <w:r>
        <w:rPr>
          <w:spacing w:val="-7"/>
          <w:sz w:val="21"/>
        </w:rPr>
        <w:t>职业健康安全管理体系；开展能耗、物耗考核并建立考核制度，或按 </w:t>
      </w:r>
      <w:r>
        <w:rPr>
          <w:sz w:val="21"/>
        </w:rPr>
        <w:t>GB/T</w:t>
      </w:r>
      <w:r>
        <w:rPr>
          <w:spacing w:val="6"/>
          <w:sz w:val="21"/>
        </w:rPr>
        <w:t> </w:t>
      </w:r>
      <w:r>
        <w:rPr>
          <w:sz w:val="21"/>
        </w:rPr>
        <w:t>23331</w:t>
      </w:r>
      <w:r>
        <w:rPr>
          <w:spacing w:val="-10"/>
          <w:sz w:val="21"/>
        </w:rPr>
        <w:t> 建立并运行</w:t>
      </w:r>
      <w:r>
        <w:rPr>
          <w:spacing w:val="-5"/>
          <w:sz w:val="21"/>
        </w:rPr>
        <w:t>能源管理体系；</w:t>
      </w:r>
      <w:r>
        <w:rPr>
          <w:sz w:val="21"/>
        </w:rPr>
        <w:t> </w:t>
      </w:r>
    </w:p>
    <w:p>
      <w:pPr>
        <w:pStyle w:val="BodyText"/>
        <w:spacing w:before="3"/>
        <w:ind w:left="992"/>
        <w:jc w:val="both"/>
      </w:pPr>
      <w:r>
        <w:rPr/>
        <w:t>c) 按 GB 17167、GB 24789 的规定配备和管理能源计量器具、水计量器具； </w:t>
      </w:r>
    </w:p>
    <w:p>
      <w:pPr>
        <w:pStyle w:val="BodyText"/>
        <w:spacing w:line="244" w:lineRule="auto" w:before="2"/>
        <w:ind w:left="992" w:right="1871"/>
        <w:jc w:val="both"/>
      </w:pPr>
      <w:r>
        <w:rPr/>
        <w:t>d） 具备全流程的、整套的符合精度要求的加工能力，并具有设备管理、保养档案； e） 按 GB/T 24256 的规定开展产品绿色设计，形成产品绿色设计方案； </w:t>
      </w:r>
    </w:p>
    <w:p>
      <w:pPr>
        <w:pStyle w:val="ListParagraph"/>
        <w:numPr>
          <w:ilvl w:val="0"/>
          <w:numId w:val="3"/>
        </w:numPr>
        <w:tabs>
          <w:tab w:pos="1413" w:val="left" w:leader="none"/>
        </w:tabs>
        <w:spacing w:line="242" w:lineRule="auto" w:before="0" w:after="0"/>
        <w:ind w:left="1412" w:right="617" w:hanging="420"/>
        <w:jc w:val="both"/>
        <w:rPr>
          <w:sz w:val="21"/>
        </w:rPr>
      </w:pPr>
      <w:r>
        <w:rPr>
          <w:spacing w:val="-1"/>
          <w:sz w:val="21"/>
        </w:rPr>
        <w:t>应采用国家鼓励的先进技术和工艺，不使用国家或有关部门发布的淘汰或禁止的技术、工艺、</w:t>
      </w:r>
      <w:r>
        <w:rPr>
          <w:spacing w:val="-3"/>
          <w:sz w:val="21"/>
        </w:rPr>
        <w:t>装备及相关物质；设计、生产过程中应节约材料；</w:t>
      </w:r>
    </w:p>
    <w:p>
      <w:pPr>
        <w:pStyle w:val="ListParagraph"/>
        <w:numPr>
          <w:ilvl w:val="0"/>
          <w:numId w:val="3"/>
        </w:numPr>
        <w:tabs>
          <w:tab w:pos="1413" w:val="left" w:leader="none"/>
        </w:tabs>
        <w:spacing w:line="242" w:lineRule="auto" w:before="0" w:after="0"/>
        <w:ind w:left="1412" w:right="839" w:hanging="420"/>
        <w:jc w:val="both"/>
        <w:rPr>
          <w:sz w:val="21"/>
        </w:rPr>
      </w:pPr>
      <w:r>
        <w:rPr>
          <w:spacing w:val="-1"/>
          <w:sz w:val="21"/>
        </w:rPr>
        <w:t>开展绿色供应链管理，并建立绿色供应链管理绩效评价机制、程序，确定评价指标和评价方法。生产企业应对产品主要原材料供应方、生产协作方、相关服务方等提出质量、环境、能</w:t>
      </w:r>
      <w:r>
        <w:rPr>
          <w:spacing w:val="-3"/>
          <w:sz w:val="21"/>
        </w:rPr>
        <w:t>源和安全等管理要求。</w:t>
      </w:r>
    </w:p>
    <w:p>
      <w:pPr>
        <w:pStyle w:val="ListParagraph"/>
        <w:numPr>
          <w:ilvl w:val="1"/>
          <w:numId w:val="2"/>
        </w:numPr>
        <w:tabs>
          <w:tab w:pos="1078" w:val="left" w:leader="none"/>
          <w:tab w:pos="1079" w:val="left" w:leader="none"/>
        </w:tabs>
        <w:spacing w:line="240" w:lineRule="auto" w:before="119" w:after="0"/>
        <w:ind w:left="1078" w:right="0" w:hanging="527"/>
        <w:jc w:val="left"/>
        <w:rPr>
          <w:rFonts w:ascii="黑体" w:eastAsia="黑体" w:hint="eastAsia"/>
          <w:sz w:val="21"/>
        </w:rPr>
      </w:pPr>
      <w:r>
        <w:rPr>
          <w:rFonts w:ascii="黑体" w:eastAsia="黑体" w:hint="eastAsia"/>
          <w:spacing w:val="-2"/>
          <w:sz w:val="21"/>
        </w:rPr>
        <w:t>产品要求</w:t>
      </w:r>
    </w:p>
    <w:p>
      <w:pPr>
        <w:pStyle w:val="BodyText"/>
        <w:spacing w:before="124"/>
        <w:ind w:left="973"/>
        <w:jc w:val="both"/>
      </w:pPr>
      <w:r>
        <w:rPr/>
        <w:t>产品应符合表 1 的要求。 </w:t>
      </w:r>
    </w:p>
    <w:p>
      <w:pPr>
        <w:spacing w:after="0"/>
        <w:jc w:val="both"/>
        <w:sectPr>
          <w:pgSz w:w="11910" w:h="16840"/>
          <w:pgMar w:header="1138" w:footer="1141" w:top="1320" w:bottom="1340" w:left="580" w:right="580"/>
        </w:sectPr>
      </w:pPr>
    </w:p>
    <w:p>
      <w:pPr>
        <w:pStyle w:val="BodyText"/>
        <w:spacing w:before="11"/>
        <w:rPr>
          <w:sz w:val="22"/>
        </w:rPr>
      </w:pPr>
    </w:p>
    <w:p>
      <w:pPr>
        <w:pStyle w:val="BodyText"/>
        <w:tabs>
          <w:tab w:pos="863" w:val="left" w:leader="none"/>
        </w:tabs>
        <w:spacing w:before="72"/>
        <w:ind w:left="284"/>
        <w:jc w:val="center"/>
        <w:rPr>
          <w:rFonts w:ascii="黑体" w:eastAsia="黑体" w:hint="eastAsia"/>
        </w:rPr>
      </w:pPr>
      <w:r>
        <w:rPr>
          <w:rFonts w:ascii="黑体" w:eastAsia="黑体" w:hint="eastAsia"/>
        </w:rPr>
        <w:t>表</w:t>
      </w:r>
      <w:r>
        <w:rPr>
          <w:rFonts w:ascii="黑体" w:eastAsia="黑体" w:hint="eastAsia"/>
          <w:spacing w:val="-52"/>
        </w:rPr>
        <w:t> </w:t>
      </w:r>
      <w:r>
        <w:rPr>
          <w:rFonts w:ascii="黑体" w:eastAsia="黑体" w:hint="eastAsia"/>
        </w:rPr>
        <w:t>1</w:t>
        <w:tab/>
        <w:t>城</w:t>
      </w:r>
      <w:r>
        <w:rPr>
          <w:rFonts w:ascii="黑体" w:eastAsia="黑体" w:hint="eastAsia"/>
          <w:spacing w:val="-3"/>
        </w:rPr>
        <w:t>镇</w:t>
      </w:r>
      <w:r>
        <w:rPr>
          <w:rFonts w:ascii="黑体" w:eastAsia="黑体" w:hint="eastAsia"/>
        </w:rPr>
        <w:t>污</w:t>
      </w:r>
      <w:r>
        <w:rPr>
          <w:rFonts w:ascii="黑体" w:eastAsia="黑体" w:hint="eastAsia"/>
          <w:spacing w:val="-3"/>
        </w:rPr>
        <w:t>泥</w:t>
      </w:r>
      <w:r>
        <w:rPr>
          <w:rFonts w:ascii="黑体" w:eastAsia="黑体" w:hint="eastAsia"/>
        </w:rPr>
        <w:t>干</w:t>
      </w:r>
      <w:r>
        <w:rPr>
          <w:rFonts w:ascii="黑体" w:eastAsia="黑体" w:hint="eastAsia"/>
          <w:spacing w:val="-3"/>
        </w:rPr>
        <w:t>化</w:t>
      </w:r>
      <w:r>
        <w:rPr>
          <w:rFonts w:ascii="黑体" w:eastAsia="黑体" w:hint="eastAsia"/>
        </w:rPr>
        <w:t>碳</w:t>
      </w:r>
      <w:r>
        <w:rPr>
          <w:rFonts w:ascii="黑体" w:eastAsia="黑体" w:hint="eastAsia"/>
          <w:spacing w:val="-3"/>
        </w:rPr>
        <w:t>化</w:t>
      </w:r>
      <w:r>
        <w:rPr>
          <w:rFonts w:ascii="黑体" w:eastAsia="黑体" w:hint="eastAsia"/>
        </w:rPr>
        <w:t>处理</w:t>
      </w:r>
      <w:r>
        <w:rPr>
          <w:rFonts w:ascii="黑体" w:eastAsia="黑体" w:hint="eastAsia"/>
          <w:spacing w:val="-3"/>
        </w:rPr>
        <w:t>一</w:t>
      </w:r>
      <w:r>
        <w:rPr>
          <w:rFonts w:ascii="黑体" w:eastAsia="黑体" w:hint="eastAsia"/>
        </w:rPr>
        <w:t>体</w:t>
      </w:r>
      <w:r>
        <w:rPr>
          <w:rFonts w:ascii="黑体" w:eastAsia="黑体" w:hint="eastAsia"/>
          <w:spacing w:val="-3"/>
        </w:rPr>
        <w:t>化</w:t>
      </w:r>
      <w:r>
        <w:rPr>
          <w:rFonts w:ascii="黑体" w:eastAsia="黑体" w:hint="eastAsia"/>
        </w:rPr>
        <w:t>装</w:t>
      </w:r>
      <w:r>
        <w:rPr>
          <w:rFonts w:ascii="黑体" w:eastAsia="黑体" w:hint="eastAsia"/>
          <w:spacing w:val="-3"/>
        </w:rPr>
        <w:t>备</w:t>
      </w:r>
      <w:r>
        <w:rPr>
          <w:rFonts w:ascii="黑体" w:eastAsia="黑体" w:hint="eastAsia"/>
        </w:rPr>
        <w:t>产</w:t>
      </w:r>
      <w:r>
        <w:rPr>
          <w:rFonts w:ascii="黑体" w:eastAsia="黑体" w:hint="eastAsia"/>
          <w:spacing w:val="-3"/>
        </w:rPr>
        <w:t>品</w:t>
      </w:r>
      <w:r>
        <w:rPr>
          <w:rFonts w:ascii="黑体" w:eastAsia="黑体" w:hint="eastAsia"/>
        </w:rPr>
        <w:t>要求</w:t>
      </w:r>
    </w:p>
    <w:p>
      <w:pPr>
        <w:pStyle w:val="BodyText"/>
        <w:spacing w:before="5" w:after="1"/>
        <w:rPr>
          <w:rFonts w:ascii="黑体"/>
          <w:sz w:val="9"/>
        </w:rPr>
      </w:pPr>
    </w:p>
    <w:tbl>
      <w:tblPr>
        <w:tblW w:w="0" w:type="auto"/>
        <w:jc w:val="left"/>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9215"/>
      </w:tblGrid>
      <w:tr>
        <w:trPr>
          <w:trHeight w:val="340" w:hRule="atLeast"/>
        </w:trPr>
        <w:tc>
          <w:tcPr>
            <w:tcW w:w="989" w:type="dxa"/>
          </w:tcPr>
          <w:p>
            <w:pPr>
              <w:pStyle w:val="TableParagraph"/>
              <w:spacing w:before="55"/>
              <w:ind w:left="159" w:right="60"/>
              <w:jc w:val="center"/>
              <w:rPr>
                <w:sz w:val="18"/>
              </w:rPr>
            </w:pPr>
            <w:r>
              <w:rPr>
                <w:sz w:val="18"/>
              </w:rPr>
              <w:t>项目 </w:t>
            </w:r>
          </w:p>
        </w:tc>
        <w:tc>
          <w:tcPr>
            <w:tcW w:w="9215" w:type="dxa"/>
          </w:tcPr>
          <w:p>
            <w:pPr>
              <w:pStyle w:val="TableParagraph"/>
              <w:spacing w:before="55"/>
              <w:ind w:left="4271" w:right="4174"/>
              <w:jc w:val="center"/>
              <w:rPr>
                <w:sz w:val="18"/>
              </w:rPr>
            </w:pPr>
            <w:r>
              <w:rPr>
                <w:sz w:val="18"/>
              </w:rPr>
              <w:t>具体要求 </w:t>
            </w:r>
          </w:p>
        </w:tc>
      </w:tr>
      <w:tr>
        <w:trPr>
          <w:trHeight w:val="467" w:hRule="atLeast"/>
        </w:trPr>
        <w:tc>
          <w:tcPr>
            <w:tcW w:w="989" w:type="dxa"/>
          </w:tcPr>
          <w:p>
            <w:pPr>
              <w:pStyle w:val="TableParagraph"/>
              <w:spacing w:before="117"/>
              <w:ind w:left="157" w:right="60"/>
              <w:jc w:val="center"/>
              <w:rPr>
                <w:sz w:val="18"/>
              </w:rPr>
            </w:pPr>
            <w:r>
              <w:rPr>
                <w:sz w:val="18"/>
              </w:rPr>
              <w:t>适用性 </w:t>
            </w:r>
          </w:p>
        </w:tc>
        <w:tc>
          <w:tcPr>
            <w:tcW w:w="9215" w:type="dxa"/>
          </w:tcPr>
          <w:p>
            <w:pPr>
              <w:pStyle w:val="TableParagraph"/>
              <w:spacing w:line="230" w:lineRule="exact" w:before="0"/>
              <w:ind w:left="208"/>
              <w:rPr>
                <w:sz w:val="18"/>
              </w:rPr>
            </w:pPr>
            <w:r>
              <w:rPr>
                <w:sz w:val="18"/>
              </w:rPr>
              <w:t>工作环境温度宜为-20</w:t>
            </w:r>
            <w:r>
              <w:rPr>
                <w:rFonts w:ascii="Times New Roman" w:hAnsi="Times New Roman" w:eastAsia="Times New Roman"/>
                <w:sz w:val="18"/>
              </w:rPr>
              <w:t>℃</w:t>
            </w:r>
            <w:r>
              <w:rPr>
                <w:sz w:val="18"/>
              </w:rPr>
              <w:t>～60</w:t>
            </w:r>
            <w:r>
              <w:rPr>
                <w:rFonts w:ascii="Times New Roman" w:hAnsi="Times New Roman" w:eastAsia="Times New Roman"/>
                <w:sz w:val="18"/>
              </w:rPr>
              <w:t>℃</w:t>
            </w:r>
            <w:r>
              <w:rPr>
                <w:sz w:val="18"/>
              </w:rPr>
              <w:t>，相对湿度≤90</w:t>
            </w:r>
            <w:r>
              <w:rPr>
                <w:rFonts w:ascii="Times New Roman" w:hAnsi="Times New Roman" w:eastAsia="Times New Roman"/>
                <w:sz w:val="18"/>
              </w:rPr>
              <w:t>%</w:t>
            </w:r>
            <w:r>
              <w:rPr>
                <w:sz w:val="18"/>
              </w:rPr>
              <w:t>，二级负荷，采用双回路供电，输入电压为 AC</w:t>
            </w:r>
            <w:r>
              <w:rPr>
                <w:spacing w:val="60"/>
                <w:sz w:val="18"/>
              </w:rPr>
              <w:t> </w:t>
            </w:r>
            <w:r>
              <w:rPr>
                <w:sz w:val="18"/>
              </w:rPr>
              <w:t>380V，适用于处</w:t>
            </w:r>
          </w:p>
          <w:p>
            <w:pPr>
              <w:pStyle w:val="TableParagraph"/>
              <w:spacing w:line="215" w:lineRule="exact" w:before="2"/>
              <w:rPr>
                <w:sz w:val="18"/>
              </w:rPr>
            </w:pPr>
            <w:r>
              <w:rPr>
                <w:sz w:val="18"/>
              </w:rPr>
              <w:t>理含水率不大于 85</w:t>
            </w:r>
            <w:r>
              <w:rPr>
                <w:rFonts w:ascii="Times New Roman" w:eastAsia="Times New Roman"/>
                <w:sz w:val="18"/>
              </w:rPr>
              <w:t>%</w:t>
            </w:r>
            <w:r>
              <w:rPr>
                <w:sz w:val="18"/>
              </w:rPr>
              <w:t>的城镇污水厂污泥 </w:t>
            </w:r>
          </w:p>
        </w:tc>
      </w:tr>
      <w:tr>
        <w:trPr>
          <w:trHeight w:val="340" w:hRule="atLeast"/>
        </w:trPr>
        <w:tc>
          <w:tcPr>
            <w:tcW w:w="989" w:type="dxa"/>
          </w:tcPr>
          <w:p>
            <w:pPr>
              <w:pStyle w:val="TableParagraph"/>
              <w:ind w:left="159" w:right="60"/>
              <w:jc w:val="center"/>
              <w:rPr>
                <w:sz w:val="18"/>
              </w:rPr>
            </w:pPr>
            <w:r>
              <w:rPr>
                <w:sz w:val="18"/>
              </w:rPr>
              <w:t>材料要求 </w:t>
            </w:r>
          </w:p>
        </w:tc>
        <w:tc>
          <w:tcPr>
            <w:tcW w:w="9215" w:type="dxa"/>
          </w:tcPr>
          <w:p>
            <w:pPr>
              <w:pStyle w:val="TableParagraph"/>
              <w:ind w:left="208"/>
              <w:rPr>
                <w:sz w:val="18"/>
              </w:rPr>
            </w:pPr>
            <w:r>
              <w:rPr>
                <w:spacing w:val="-6"/>
                <w:sz w:val="18"/>
              </w:rPr>
              <w:t>反应釜内层宜采用 </w:t>
            </w:r>
            <w:r>
              <w:rPr>
                <w:sz w:val="18"/>
              </w:rPr>
              <w:t>310S</w:t>
            </w:r>
            <w:r>
              <w:rPr>
                <w:spacing w:val="-10"/>
                <w:sz w:val="18"/>
              </w:rPr>
              <w:t> 不锈钢，反应釜外层采用 </w:t>
            </w:r>
            <w:r>
              <w:rPr>
                <w:sz w:val="18"/>
              </w:rPr>
              <w:t>Q345R</w:t>
            </w:r>
            <w:r>
              <w:rPr>
                <w:spacing w:val="-10"/>
                <w:sz w:val="18"/>
              </w:rPr>
              <w:t> 碳钢板，燃烧室应采用符合 </w:t>
            </w:r>
            <w:r>
              <w:rPr>
                <w:sz w:val="18"/>
              </w:rPr>
              <w:t>GB/T 22590</w:t>
            </w:r>
            <w:r>
              <w:rPr>
                <w:spacing w:val="-7"/>
                <w:sz w:val="18"/>
              </w:rPr>
              <w:t> 规定的耐火浇注料</w:t>
            </w:r>
          </w:p>
        </w:tc>
      </w:tr>
      <w:tr>
        <w:trPr>
          <w:trHeight w:val="337" w:hRule="atLeast"/>
        </w:trPr>
        <w:tc>
          <w:tcPr>
            <w:tcW w:w="989" w:type="dxa"/>
          </w:tcPr>
          <w:p>
            <w:pPr>
              <w:pStyle w:val="TableParagraph"/>
              <w:ind w:left="159" w:right="60"/>
              <w:jc w:val="center"/>
              <w:rPr>
                <w:sz w:val="18"/>
              </w:rPr>
            </w:pPr>
            <w:r>
              <w:rPr>
                <w:sz w:val="18"/>
              </w:rPr>
              <w:t>外观要求 </w:t>
            </w:r>
          </w:p>
        </w:tc>
        <w:tc>
          <w:tcPr>
            <w:tcW w:w="9215" w:type="dxa"/>
          </w:tcPr>
          <w:p>
            <w:pPr>
              <w:pStyle w:val="TableParagraph"/>
              <w:ind w:left="208"/>
              <w:rPr>
                <w:sz w:val="18"/>
              </w:rPr>
            </w:pPr>
            <w:r>
              <w:rPr>
                <w:sz w:val="18"/>
              </w:rPr>
              <w:t>主体结构外表面应光滑无裂纹、无明显划痕，色泽均匀。主体内表面、隔板等应光滑平整，无明显缺陷 </w:t>
            </w:r>
          </w:p>
        </w:tc>
      </w:tr>
      <w:tr>
        <w:trPr>
          <w:trHeight w:val="700" w:hRule="atLeast"/>
        </w:trPr>
        <w:tc>
          <w:tcPr>
            <w:tcW w:w="989" w:type="dxa"/>
          </w:tcPr>
          <w:p>
            <w:pPr>
              <w:pStyle w:val="TableParagraph"/>
              <w:spacing w:before="4"/>
              <w:ind w:left="0"/>
              <w:rPr>
                <w:rFonts w:ascii="黑体"/>
                <w:sz w:val="18"/>
              </w:rPr>
            </w:pPr>
          </w:p>
          <w:p>
            <w:pPr>
              <w:pStyle w:val="TableParagraph"/>
              <w:spacing w:before="0"/>
              <w:ind w:left="159" w:right="60"/>
              <w:jc w:val="center"/>
              <w:rPr>
                <w:sz w:val="18"/>
              </w:rPr>
            </w:pPr>
            <w:r>
              <w:rPr>
                <w:sz w:val="18"/>
              </w:rPr>
              <w:t>制造要求 </w:t>
            </w:r>
          </w:p>
        </w:tc>
        <w:tc>
          <w:tcPr>
            <w:tcW w:w="9215" w:type="dxa"/>
          </w:tcPr>
          <w:p>
            <w:pPr>
              <w:pStyle w:val="TableParagraph"/>
              <w:spacing w:line="230" w:lineRule="atLeast" w:before="2"/>
              <w:ind w:right="11" w:firstLine="180"/>
              <w:jc w:val="both"/>
              <w:rPr>
                <w:sz w:val="18"/>
              </w:rPr>
            </w:pPr>
            <w:r>
              <w:rPr>
                <w:spacing w:val="-3"/>
                <w:sz w:val="18"/>
              </w:rPr>
              <w:t>设计使用寿命宜不低于 </w:t>
            </w:r>
            <w:r>
              <w:rPr>
                <w:sz w:val="18"/>
              </w:rPr>
              <w:t>15</w:t>
            </w:r>
            <w:r>
              <w:rPr>
                <w:spacing w:val="-6"/>
                <w:sz w:val="18"/>
              </w:rPr>
              <w:t> 年；主体尺寸</w:t>
            </w:r>
            <w:r>
              <w:rPr>
                <w:sz w:val="18"/>
              </w:rPr>
              <w:t>（长、宽、高）</w:t>
            </w:r>
            <w:r>
              <w:rPr>
                <w:spacing w:val="-4"/>
                <w:sz w:val="18"/>
              </w:rPr>
              <w:t>公差应不低于 </w:t>
            </w:r>
            <w:r>
              <w:rPr>
                <w:sz w:val="18"/>
              </w:rPr>
              <w:t>GB/T 19804</w:t>
            </w:r>
            <w:r>
              <w:rPr>
                <w:spacing w:val="-8"/>
                <w:sz w:val="18"/>
              </w:rPr>
              <w:t> 的线性尺寸公差 </w:t>
            </w:r>
            <w:r>
              <w:rPr>
                <w:sz w:val="18"/>
              </w:rPr>
              <w:t>B</w:t>
            </w:r>
            <w:r>
              <w:rPr>
                <w:spacing w:val="-5"/>
                <w:sz w:val="18"/>
              </w:rPr>
              <w:t> 级要求，焊</w:t>
            </w:r>
            <w:r>
              <w:rPr>
                <w:spacing w:val="-10"/>
                <w:sz w:val="18"/>
              </w:rPr>
              <w:t>接、焊缝应分别符合 </w:t>
            </w:r>
            <w:r>
              <w:rPr>
                <w:sz w:val="18"/>
              </w:rPr>
              <w:t>JB/T 5943、GB/T 37910.1</w:t>
            </w:r>
            <w:r>
              <w:rPr>
                <w:spacing w:val="-11"/>
                <w:sz w:val="18"/>
              </w:rPr>
              <w:t> 的规定，涂装应符合 </w:t>
            </w:r>
            <w:r>
              <w:rPr>
                <w:sz w:val="18"/>
              </w:rPr>
              <w:t>GB/T 37400.12</w:t>
            </w:r>
            <w:r>
              <w:rPr>
                <w:spacing w:val="-7"/>
                <w:sz w:val="18"/>
              </w:rPr>
              <w:t> 的规定，机械加工件的技术要求</w:t>
            </w:r>
            <w:r>
              <w:rPr>
                <w:spacing w:val="-17"/>
                <w:sz w:val="18"/>
              </w:rPr>
              <w:t>应符合 </w:t>
            </w:r>
            <w:r>
              <w:rPr>
                <w:sz w:val="18"/>
              </w:rPr>
              <w:t>JB/T 5936</w:t>
            </w:r>
            <w:r>
              <w:rPr>
                <w:spacing w:val="-12"/>
                <w:sz w:val="18"/>
              </w:rPr>
              <w:t> 的规定</w:t>
            </w:r>
            <w:r>
              <w:rPr>
                <w:sz w:val="18"/>
              </w:rPr>
              <w:t> </w:t>
            </w:r>
          </w:p>
        </w:tc>
      </w:tr>
      <w:tr>
        <w:trPr>
          <w:trHeight w:val="700" w:hRule="atLeast"/>
        </w:trPr>
        <w:tc>
          <w:tcPr>
            <w:tcW w:w="989" w:type="dxa"/>
          </w:tcPr>
          <w:p>
            <w:pPr>
              <w:pStyle w:val="TableParagraph"/>
              <w:spacing w:line="242" w:lineRule="auto" w:before="117"/>
              <w:ind w:left="314" w:right="35" w:hanging="272"/>
              <w:rPr>
                <w:sz w:val="18"/>
              </w:rPr>
            </w:pPr>
            <w:r>
              <w:rPr>
                <w:sz w:val="18"/>
              </w:rPr>
              <w:t>电气和控制要求 </w:t>
            </w:r>
          </w:p>
        </w:tc>
        <w:tc>
          <w:tcPr>
            <w:tcW w:w="9215" w:type="dxa"/>
          </w:tcPr>
          <w:p>
            <w:pPr>
              <w:pStyle w:val="TableParagraph"/>
              <w:spacing w:line="230" w:lineRule="atLeast" w:before="2"/>
              <w:ind w:right="13" w:firstLine="180"/>
              <w:jc w:val="both"/>
              <w:rPr>
                <w:sz w:val="18"/>
              </w:rPr>
            </w:pPr>
            <w:r>
              <w:rPr>
                <w:spacing w:val="-4"/>
                <w:sz w:val="18"/>
              </w:rPr>
              <w:t>电气设备的设计与安全应符合 </w:t>
            </w:r>
            <w:r>
              <w:rPr>
                <w:sz w:val="18"/>
              </w:rPr>
              <w:t>GB/T 7251.1</w:t>
            </w:r>
            <w:r>
              <w:rPr>
                <w:spacing w:val="-1"/>
                <w:sz w:val="18"/>
              </w:rPr>
              <w:t> 和</w:t>
            </w:r>
            <w:r>
              <w:rPr>
                <w:sz w:val="18"/>
              </w:rPr>
              <w:t>GB 19517</w:t>
            </w:r>
            <w:r>
              <w:rPr>
                <w:spacing w:val="-9"/>
                <w:sz w:val="18"/>
              </w:rPr>
              <w:t> 的规定；低压成套设备外壳防护等级应不低于 </w:t>
            </w:r>
            <w:r>
              <w:rPr>
                <w:sz w:val="18"/>
              </w:rPr>
              <w:t>GB/T 4208 </w:t>
            </w:r>
            <w:r>
              <w:rPr>
                <w:spacing w:val="-12"/>
                <w:sz w:val="18"/>
              </w:rPr>
              <w:t>规定的 </w:t>
            </w:r>
            <w:r>
              <w:rPr>
                <w:sz w:val="18"/>
              </w:rPr>
              <w:t>IP54</w:t>
            </w:r>
            <w:r>
              <w:rPr>
                <w:spacing w:val="-9"/>
                <w:sz w:val="18"/>
              </w:rPr>
              <w:t> 级要求，电气装置的安装工程接地应符合 </w:t>
            </w:r>
            <w:r>
              <w:rPr>
                <w:sz w:val="18"/>
              </w:rPr>
              <w:t>GB 50169</w:t>
            </w:r>
            <w:r>
              <w:rPr>
                <w:spacing w:val="-7"/>
                <w:sz w:val="18"/>
              </w:rPr>
              <w:t> 的规定，电气控制设备应预留远程通信接口，电气设备应设有过载、过压、欠压、短路、缺相等保护及报警装置 </w:t>
            </w:r>
          </w:p>
        </w:tc>
      </w:tr>
      <w:tr>
        <w:trPr>
          <w:trHeight w:val="700" w:hRule="atLeast"/>
        </w:trPr>
        <w:tc>
          <w:tcPr>
            <w:tcW w:w="989" w:type="dxa"/>
          </w:tcPr>
          <w:p>
            <w:pPr>
              <w:pStyle w:val="TableParagraph"/>
              <w:spacing w:line="242" w:lineRule="auto" w:before="117"/>
              <w:ind w:left="314" w:right="35" w:hanging="272"/>
              <w:rPr>
                <w:sz w:val="18"/>
              </w:rPr>
            </w:pPr>
            <w:r>
              <w:rPr>
                <w:sz w:val="18"/>
              </w:rPr>
              <w:t>安装和吊装要求 </w:t>
            </w:r>
          </w:p>
        </w:tc>
        <w:tc>
          <w:tcPr>
            <w:tcW w:w="9215" w:type="dxa"/>
          </w:tcPr>
          <w:p>
            <w:pPr>
              <w:pStyle w:val="TableParagraph"/>
              <w:spacing w:line="242" w:lineRule="auto" w:before="2"/>
              <w:ind w:right="17" w:firstLine="180"/>
              <w:rPr>
                <w:sz w:val="18"/>
              </w:rPr>
            </w:pPr>
            <w:r>
              <w:rPr>
                <w:spacing w:val="-3"/>
                <w:sz w:val="18"/>
              </w:rPr>
              <w:t>装备外壁距建筑物外墙不宜小于 </w:t>
            </w:r>
            <w:r>
              <w:rPr>
                <w:sz w:val="18"/>
              </w:rPr>
              <w:t>2 m</w:t>
            </w:r>
            <w:r>
              <w:rPr>
                <w:spacing w:val="-2"/>
                <w:sz w:val="18"/>
              </w:rPr>
              <w:t>；吊装设备主体时，应先试吊，试吊无问题后方可起吊，吊装用绳、索具最小</w:t>
            </w:r>
            <w:r>
              <w:rPr>
                <w:spacing w:val="-5"/>
                <w:sz w:val="18"/>
              </w:rPr>
              <w:t>安全系数应大于 </w:t>
            </w:r>
            <w:r>
              <w:rPr>
                <w:sz w:val="18"/>
              </w:rPr>
              <w:t>6（</w:t>
            </w:r>
            <w:r>
              <w:rPr>
                <w:spacing w:val="-4"/>
                <w:sz w:val="18"/>
              </w:rPr>
              <w:t>即负载能力为被起吊件质量的 </w:t>
            </w:r>
            <w:r>
              <w:rPr>
                <w:sz w:val="18"/>
              </w:rPr>
              <w:t>6</w:t>
            </w:r>
            <w:r>
              <w:rPr>
                <w:spacing w:val="-10"/>
                <w:sz w:val="18"/>
              </w:rPr>
              <w:t> 倍以上</w:t>
            </w:r>
            <w:r>
              <w:rPr>
                <w:sz w:val="18"/>
              </w:rPr>
              <w:t>），</w:t>
            </w:r>
            <w:r>
              <w:rPr>
                <w:spacing w:val="-1"/>
                <w:sz w:val="18"/>
              </w:rPr>
              <w:t>严禁超载起吊，起吊装置的工作范围内或起吊件下严</w:t>
            </w:r>
          </w:p>
          <w:p>
            <w:pPr>
              <w:pStyle w:val="TableParagraph"/>
              <w:spacing w:line="213" w:lineRule="exact" w:before="0"/>
              <w:rPr>
                <w:sz w:val="18"/>
              </w:rPr>
            </w:pPr>
            <w:r>
              <w:rPr>
                <w:sz w:val="18"/>
              </w:rPr>
              <w:t>禁人员违规滞留 </w:t>
            </w:r>
          </w:p>
        </w:tc>
      </w:tr>
      <w:tr>
        <w:trPr>
          <w:trHeight w:val="935" w:hRule="atLeast"/>
        </w:trPr>
        <w:tc>
          <w:tcPr>
            <w:tcW w:w="989" w:type="dxa"/>
          </w:tcPr>
          <w:p>
            <w:pPr>
              <w:pStyle w:val="TableParagraph"/>
              <w:spacing w:before="0"/>
              <w:ind w:left="0"/>
              <w:rPr>
                <w:rFonts w:ascii="黑体"/>
                <w:sz w:val="18"/>
              </w:rPr>
            </w:pPr>
          </w:p>
          <w:p>
            <w:pPr>
              <w:pStyle w:val="TableParagraph"/>
              <w:spacing w:before="119"/>
              <w:ind w:left="159" w:right="60"/>
              <w:jc w:val="center"/>
              <w:rPr>
                <w:sz w:val="18"/>
              </w:rPr>
            </w:pPr>
            <w:r>
              <w:rPr>
                <w:sz w:val="18"/>
              </w:rPr>
              <w:t>安全要求 </w:t>
            </w:r>
          </w:p>
        </w:tc>
        <w:tc>
          <w:tcPr>
            <w:tcW w:w="9215" w:type="dxa"/>
          </w:tcPr>
          <w:p>
            <w:pPr>
              <w:pStyle w:val="TableParagraph"/>
              <w:spacing w:line="242" w:lineRule="auto" w:before="0"/>
              <w:ind w:right="14" w:firstLine="180"/>
              <w:jc w:val="both"/>
              <w:rPr>
                <w:sz w:val="18"/>
              </w:rPr>
            </w:pPr>
            <w:r>
              <w:rPr>
                <w:spacing w:val="-4"/>
                <w:sz w:val="18"/>
              </w:rPr>
              <w:t>安全标志应符合 </w:t>
            </w:r>
            <w:r>
              <w:rPr>
                <w:sz w:val="18"/>
              </w:rPr>
              <w:t>GB 2894</w:t>
            </w:r>
            <w:r>
              <w:rPr>
                <w:spacing w:val="-8"/>
                <w:sz w:val="18"/>
              </w:rPr>
              <w:t> 的规定；装备的机械安装防护装置应符合 </w:t>
            </w:r>
            <w:r>
              <w:rPr>
                <w:sz w:val="18"/>
              </w:rPr>
              <w:t>GB/T 8196</w:t>
            </w:r>
            <w:r>
              <w:rPr>
                <w:spacing w:val="-6"/>
                <w:sz w:val="18"/>
              </w:rPr>
              <w:t> 的规定；装备应设置检测、自动控</w:t>
            </w:r>
            <w:r>
              <w:rPr>
                <w:spacing w:val="-3"/>
                <w:sz w:val="18"/>
              </w:rPr>
              <w:t>制、报警、应急处理、紧急排放等安全装置，必要时应及时切断电源，装备投入运行前，应对零部件检查并调试； </w:t>
            </w:r>
            <w:r>
              <w:rPr>
                <w:spacing w:val="-5"/>
                <w:sz w:val="18"/>
              </w:rPr>
              <w:t>设备主体停机前应冷却至 </w:t>
            </w:r>
            <w:r>
              <w:rPr>
                <w:sz w:val="18"/>
              </w:rPr>
              <w:t>100</w:t>
            </w:r>
            <w:r>
              <w:rPr>
                <w:rFonts w:ascii="Times New Roman" w:hAnsi="Times New Roman" w:eastAsia="Times New Roman"/>
                <w:sz w:val="18"/>
              </w:rPr>
              <w:t>℃</w:t>
            </w:r>
            <w:r>
              <w:rPr>
                <w:spacing w:val="-1"/>
                <w:sz w:val="18"/>
              </w:rPr>
              <w:t>及以下，必要时切断燃烧器电源；在检修维护时，如需进入装备内部检修，应进行强</w:t>
            </w:r>
          </w:p>
          <w:p>
            <w:pPr>
              <w:pStyle w:val="TableParagraph"/>
              <w:spacing w:line="215" w:lineRule="exact" w:before="2"/>
              <w:jc w:val="both"/>
              <w:rPr>
                <w:sz w:val="18"/>
              </w:rPr>
            </w:pPr>
            <w:r>
              <w:rPr>
                <w:sz w:val="18"/>
              </w:rPr>
              <w:t>制通风，通风换气次数应为 5 次/h～10 次/h </w:t>
            </w:r>
          </w:p>
        </w:tc>
      </w:tr>
      <w:tr>
        <w:trPr>
          <w:trHeight w:val="465" w:hRule="atLeast"/>
        </w:trPr>
        <w:tc>
          <w:tcPr>
            <w:tcW w:w="989" w:type="dxa"/>
          </w:tcPr>
          <w:p>
            <w:pPr>
              <w:pStyle w:val="TableParagraph"/>
              <w:spacing w:before="115"/>
              <w:ind w:left="159" w:right="60"/>
              <w:jc w:val="center"/>
              <w:rPr>
                <w:sz w:val="18"/>
              </w:rPr>
            </w:pPr>
            <w:r>
              <w:rPr>
                <w:sz w:val="18"/>
              </w:rPr>
              <w:t>排放要求 </w:t>
            </w:r>
          </w:p>
        </w:tc>
        <w:tc>
          <w:tcPr>
            <w:tcW w:w="9215" w:type="dxa"/>
          </w:tcPr>
          <w:p>
            <w:pPr>
              <w:pStyle w:val="TableParagraph"/>
              <w:spacing w:before="0"/>
              <w:ind w:left="208"/>
              <w:rPr>
                <w:sz w:val="18"/>
              </w:rPr>
            </w:pPr>
            <w:r>
              <w:rPr>
                <w:spacing w:val="-4"/>
                <w:sz w:val="18"/>
              </w:rPr>
              <w:t>运行过程中的废水排放应符合 </w:t>
            </w:r>
            <w:r>
              <w:rPr>
                <w:sz w:val="18"/>
              </w:rPr>
              <w:t>GB 18918</w:t>
            </w:r>
            <w:r>
              <w:rPr>
                <w:spacing w:val="-10"/>
                <w:sz w:val="18"/>
              </w:rPr>
              <w:t> 的规定，产生的废气排放应符合 </w:t>
            </w:r>
            <w:r>
              <w:rPr>
                <w:sz w:val="18"/>
              </w:rPr>
              <w:t>GB 16297</w:t>
            </w:r>
            <w:r>
              <w:rPr>
                <w:spacing w:val="-3"/>
                <w:sz w:val="18"/>
              </w:rPr>
              <w:t>、</w:t>
            </w:r>
            <w:r>
              <w:rPr>
                <w:sz w:val="18"/>
              </w:rPr>
              <w:t>GB 14554</w:t>
            </w:r>
            <w:r>
              <w:rPr>
                <w:spacing w:val="-7"/>
                <w:sz w:val="18"/>
              </w:rPr>
              <w:t> 的规定，运行过程中</w:t>
            </w:r>
          </w:p>
          <w:p>
            <w:pPr>
              <w:pStyle w:val="TableParagraph"/>
              <w:spacing w:line="213" w:lineRule="exact" w:before="2"/>
              <w:rPr>
                <w:sz w:val="18"/>
              </w:rPr>
            </w:pPr>
            <w:r>
              <w:rPr>
                <w:sz w:val="18"/>
              </w:rPr>
              <w:t>的噪声应符合 GB 12348 的规定 </w:t>
            </w:r>
          </w:p>
        </w:tc>
      </w:tr>
      <w:tr>
        <w:trPr>
          <w:trHeight w:val="467" w:hRule="atLeast"/>
        </w:trPr>
        <w:tc>
          <w:tcPr>
            <w:tcW w:w="989" w:type="dxa"/>
          </w:tcPr>
          <w:p>
            <w:pPr>
              <w:pStyle w:val="TableParagraph"/>
              <w:spacing w:before="0"/>
              <w:ind w:left="134"/>
              <w:rPr>
                <w:sz w:val="18"/>
              </w:rPr>
            </w:pPr>
            <w:r>
              <w:rPr>
                <w:sz w:val="18"/>
              </w:rPr>
              <w:t>碳化污泥 </w:t>
            </w:r>
          </w:p>
          <w:p>
            <w:pPr>
              <w:pStyle w:val="TableParagraph"/>
              <w:spacing w:line="213" w:lineRule="exact" w:before="4"/>
              <w:ind w:left="134"/>
              <w:rPr>
                <w:sz w:val="18"/>
              </w:rPr>
            </w:pPr>
            <w:r>
              <w:rPr>
                <w:sz w:val="18"/>
              </w:rPr>
              <w:t>泥质要求 </w:t>
            </w:r>
          </w:p>
        </w:tc>
        <w:tc>
          <w:tcPr>
            <w:tcW w:w="9215" w:type="dxa"/>
          </w:tcPr>
          <w:p>
            <w:pPr>
              <w:pStyle w:val="TableParagraph"/>
              <w:spacing w:before="117"/>
              <w:ind w:left="208"/>
              <w:rPr>
                <w:sz w:val="18"/>
              </w:rPr>
            </w:pPr>
            <w:r>
              <w:rPr>
                <w:sz w:val="18"/>
              </w:rPr>
              <w:t>碳化污泥用于土地改良泥质应符合 GB/T 24600 的规定；碳化污泥用于制砖泥质应符合 GB/T 25031 的规定 </w:t>
            </w:r>
          </w:p>
        </w:tc>
      </w:tr>
    </w:tbl>
    <w:p>
      <w:pPr>
        <w:pStyle w:val="BodyText"/>
        <w:spacing w:before="1"/>
        <w:ind w:left="1258"/>
      </w:pPr>
      <w:r>
        <w:rPr>
          <w:w w:val="100"/>
        </w:rPr>
        <w:t> </w:t>
      </w:r>
    </w:p>
    <w:p>
      <w:pPr>
        <w:pStyle w:val="ListParagraph"/>
        <w:numPr>
          <w:ilvl w:val="1"/>
          <w:numId w:val="2"/>
        </w:numPr>
        <w:tabs>
          <w:tab w:pos="1364" w:val="left" w:leader="none"/>
          <w:tab w:pos="1365" w:val="left" w:leader="none"/>
        </w:tabs>
        <w:spacing w:line="240" w:lineRule="auto" w:before="124" w:after="0"/>
        <w:ind w:left="1364" w:right="0" w:hanging="527"/>
        <w:jc w:val="left"/>
        <w:rPr>
          <w:rFonts w:ascii="黑体" w:eastAsia="黑体" w:hint="eastAsia"/>
          <w:sz w:val="21"/>
        </w:rPr>
      </w:pPr>
      <w:r>
        <w:rPr>
          <w:rFonts w:ascii="黑体" w:eastAsia="黑体" w:hint="eastAsia"/>
          <w:spacing w:val="-3"/>
          <w:sz w:val="21"/>
        </w:rPr>
        <w:t>产品评价指标</w:t>
      </w:r>
    </w:p>
    <w:p>
      <w:pPr>
        <w:pStyle w:val="BodyText"/>
        <w:spacing w:line="244" w:lineRule="auto" w:before="123"/>
        <w:ind w:left="838" w:right="553" w:firstLine="420"/>
      </w:pPr>
      <w:r>
        <w:rPr/>
        <w:t>城镇污泥干化碳化处理一体化装备评价指标应从资源能源节约，以及对环境和人体健康造成影响角度选取；评价指标名称、基准值、判定依据等应符合表 2 的要求。 </w:t>
      </w:r>
    </w:p>
    <w:p>
      <w:pPr>
        <w:pStyle w:val="BodyText"/>
        <w:tabs>
          <w:tab w:pos="864" w:val="left" w:leader="none"/>
        </w:tabs>
        <w:spacing w:before="115"/>
        <w:ind w:left="285"/>
        <w:jc w:val="center"/>
        <w:rPr>
          <w:rFonts w:ascii="黑体" w:eastAsia="黑体" w:hint="eastAsia"/>
        </w:rPr>
      </w:pPr>
      <w:r>
        <w:rPr>
          <w:rFonts w:ascii="黑体" w:eastAsia="黑体" w:hint="eastAsia"/>
        </w:rPr>
        <w:t>表</w:t>
      </w:r>
      <w:r>
        <w:rPr>
          <w:rFonts w:ascii="黑体" w:eastAsia="黑体" w:hint="eastAsia"/>
          <w:spacing w:val="-52"/>
        </w:rPr>
        <w:t> </w:t>
      </w:r>
      <w:r>
        <w:rPr>
          <w:rFonts w:ascii="黑体" w:eastAsia="黑体" w:hint="eastAsia"/>
        </w:rPr>
        <w:t>2</w:t>
        <w:tab/>
        <w:t>城</w:t>
      </w:r>
      <w:r>
        <w:rPr>
          <w:rFonts w:ascii="黑体" w:eastAsia="黑体" w:hint="eastAsia"/>
          <w:spacing w:val="-3"/>
        </w:rPr>
        <w:t>镇</w:t>
      </w:r>
      <w:r>
        <w:rPr>
          <w:rFonts w:ascii="黑体" w:eastAsia="黑体" w:hint="eastAsia"/>
        </w:rPr>
        <w:t>污</w:t>
      </w:r>
      <w:r>
        <w:rPr>
          <w:rFonts w:ascii="黑体" w:eastAsia="黑体" w:hint="eastAsia"/>
          <w:spacing w:val="-3"/>
        </w:rPr>
        <w:t>泥</w:t>
      </w:r>
      <w:r>
        <w:rPr>
          <w:rFonts w:ascii="黑体" w:eastAsia="黑体" w:hint="eastAsia"/>
        </w:rPr>
        <w:t>干</w:t>
      </w:r>
      <w:r>
        <w:rPr>
          <w:rFonts w:ascii="黑体" w:eastAsia="黑体" w:hint="eastAsia"/>
          <w:spacing w:val="-3"/>
        </w:rPr>
        <w:t>化</w:t>
      </w:r>
      <w:r>
        <w:rPr>
          <w:rFonts w:ascii="黑体" w:eastAsia="黑体" w:hint="eastAsia"/>
        </w:rPr>
        <w:t>碳</w:t>
      </w:r>
      <w:r>
        <w:rPr>
          <w:rFonts w:ascii="黑体" w:eastAsia="黑体" w:hint="eastAsia"/>
          <w:spacing w:val="-3"/>
        </w:rPr>
        <w:t>化</w:t>
      </w:r>
      <w:r>
        <w:rPr>
          <w:rFonts w:ascii="黑体" w:eastAsia="黑体" w:hint="eastAsia"/>
        </w:rPr>
        <w:t>处理</w:t>
      </w:r>
      <w:r>
        <w:rPr>
          <w:rFonts w:ascii="黑体" w:eastAsia="黑体" w:hint="eastAsia"/>
          <w:spacing w:val="-3"/>
        </w:rPr>
        <w:t>一</w:t>
      </w:r>
      <w:r>
        <w:rPr>
          <w:rFonts w:ascii="黑体" w:eastAsia="黑体" w:hint="eastAsia"/>
        </w:rPr>
        <w:t>体</w:t>
      </w:r>
      <w:r>
        <w:rPr>
          <w:rFonts w:ascii="黑体" w:eastAsia="黑体" w:hint="eastAsia"/>
          <w:spacing w:val="-3"/>
        </w:rPr>
        <w:t>化</w:t>
      </w:r>
      <w:r>
        <w:rPr>
          <w:rFonts w:ascii="黑体" w:eastAsia="黑体" w:hint="eastAsia"/>
        </w:rPr>
        <w:t>装</w:t>
      </w:r>
      <w:r>
        <w:rPr>
          <w:rFonts w:ascii="黑体" w:eastAsia="黑体" w:hint="eastAsia"/>
          <w:spacing w:val="-3"/>
        </w:rPr>
        <w:t>备</w:t>
      </w:r>
      <w:r>
        <w:rPr>
          <w:rFonts w:ascii="黑体" w:eastAsia="黑体" w:hint="eastAsia"/>
        </w:rPr>
        <w:t>评</w:t>
      </w:r>
      <w:r>
        <w:rPr>
          <w:rFonts w:ascii="黑体" w:eastAsia="黑体" w:hint="eastAsia"/>
          <w:spacing w:val="-3"/>
        </w:rPr>
        <w:t>价</w:t>
      </w:r>
      <w:r>
        <w:rPr>
          <w:rFonts w:ascii="黑体" w:eastAsia="黑体" w:hint="eastAsia"/>
        </w:rPr>
        <w:t>指标</w:t>
      </w:r>
    </w:p>
    <w:p>
      <w:pPr>
        <w:pStyle w:val="BodyText"/>
        <w:spacing w:before="6" w:after="1"/>
        <w:rPr>
          <w:rFonts w:ascii="黑体"/>
          <w:sz w:val="9"/>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9"/>
        <w:gridCol w:w="2696"/>
        <w:gridCol w:w="708"/>
        <w:gridCol w:w="2552"/>
        <w:gridCol w:w="2269"/>
        <w:gridCol w:w="999"/>
      </w:tblGrid>
      <w:tr>
        <w:trPr>
          <w:trHeight w:val="467" w:hRule="atLeast"/>
        </w:trPr>
        <w:tc>
          <w:tcPr>
            <w:tcW w:w="999" w:type="dxa"/>
          </w:tcPr>
          <w:p>
            <w:pPr>
              <w:pStyle w:val="TableParagraph"/>
              <w:spacing w:before="117"/>
              <w:ind w:left="0" w:right="39"/>
              <w:jc w:val="right"/>
              <w:rPr>
                <w:sz w:val="18"/>
              </w:rPr>
            </w:pPr>
            <w:r>
              <w:rPr>
                <w:sz w:val="18"/>
              </w:rPr>
              <w:t>一级指标 </w:t>
            </w:r>
          </w:p>
        </w:tc>
        <w:tc>
          <w:tcPr>
            <w:tcW w:w="2696" w:type="dxa"/>
          </w:tcPr>
          <w:p>
            <w:pPr>
              <w:pStyle w:val="TableParagraph"/>
              <w:spacing w:before="117"/>
              <w:ind w:left="109" w:right="13"/>
              <w:jc w:val="center"/>
              <w:rPr>
                <w:sz w:val="18"/>
              </w:rPr>
            </w:pPr>
            <w:r>
              <w:rPr>
                <w:sz w:val="18"/>
              </w:rPr>
              <w:t>二级指标 </w:t>
            </w:r>
          </w:p>
        </w:tc>
        <w:tc>
          <w:tcPr>
            <w:tcW w:w="708" w:type="dxa"/>
          </w:tcPr>
          <w:p>
            <w:pPr>
              <w:pStyle w:val="TableParagraph"/>
              <w:spacing w:before="117"/>
              <w:ind w:left="172"/>
              <w:rPr>
                <w:sz w:val="18"/>
              </w:rPr>
            </w:pPr>
            <w:r>
              <w:rPr>
                <w:sz w:val="18"/>
              </w:rPr>
              <w:t>单位 </w:t>
            </w:r>
          </w:p>
        </w:tc>
        <w:tc>
          <w:tcPr>
            <w:tcW w:w="2552" w:type="dxa"/>
          </w:tcPr>
          <w:p>
            <w:pPr>
              <w:pStyle w:val="TableParagraph"/>
              <w:spacing w:before="117"/>
              <w:ind w:left="396" w:right="303"/>
              <w:jc w:val="center"/>
              <w:rPr>
                <w:sz w:val="18"/>
              </w:rPr>
            </w:pPr>
            <w:r>
              <w:rPr>
                <w:sz w:val="18"/>
              </w:rPr>
              <w:t>基准值 </w:t>
            </w:r>
          </w:p>
        </w:tc>
        <w:tc>
          <w:tcPr>
            <w:tcW w:w="2269" w:type="dxa"/>
          </w:tcPr>
          <w:p>
            <w:pPr>
              <w:pStyle w:val="TableParagraph"/>
              <w:spacing w:before="117"/>
              <w:ind w:left="101" w:right="1"/>
              <w:jc w:val="center"/>
              <w:rPr>
                <w:sz w:val="18"/>
              </w:rPr>
            </w:pPr>
            <w:r>
              <w:rPr>
                <w:sz w:val="18"/>
              </w:rPr>
              <w:t>判定依据 </w:t>
            </w:r>
          </w:p>
        </w:tc>
        <w:tc>
          <w:tcPr>
            <w:tcW w:w="999" w:type="dxa"/>
          </w:tcPr>
          <w:p>
            <w:pPr>
              <w:pStyle w:val="TableParagraph"/>
              <w:spacing w:line="230" w:lineRule="atLeast" w:before="2"/>
              <w:ind w:left="137" w:right="39"/>
              <w:rPr>
                <w:sz w:val="18"/>
              </w:rPr>
            </w:pPr>
            <w:r>
              <w:rPr>
                <w:sz w:val="18"/>
              </w:rPr>
              <w:t>所属生命周期阶段 </w:t>
            </w:r>
          </w:p>
        </w:tc>
      </w:tr>
      <w:tr>
        <w:trPr>
          <w:trHeight w:val="467" w:hRule="atLeast"/>
        </w:trPr>
        <w:tc>
          <w:tcPr>
            <w:tcW w:w="99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140"/>
              <w:ind w:left="136"/>
              <w:rPr>
                <w:sz w:val="18"/>
              </w:rPr>
            </w:pPr>
            <w:r>
              <w:rPr>
                <w:sz w:val="18"/>
              </w:rPr>
              <w:t>资源属性 </w:t>
            </w:r>
          </w:p>
        </w:tc>
        <w:tc>
          <w:tcPr>
            <w:tcW w:w="2696" w:type="dxa"/>
          </w:tcPr>
          <w:p>
            <w:pPr>
              <w:pStyle w:val="TableParagraph"/>
              <w:spacing w:before="117"/>
              <w:ind w:left="109" w:right="13"/>
              <w:jc w:val="center"/>
              <w:rPr>
                <w:sz w:val="18"/>
              </w:rPr>
            </w:pPr>
            <w:r>
              <w:rPr>
                <w:sz w:val="18"/>
              </w:rPr>
              <w:t>优化设计 </w:t>
            </w:r>
          </w:p>
        </w:tc>
        <w:tc>
          <w:tcPr>
            <w:tcW w:w="708" w:type="dxa"/>
          </w:tcPr>
          <w:p>
            <w:pPr>
              <w:pStyle w:val="TableParagraph"/>
              <w:spacing w:before="117"/>
              <w:ind w:left="260"/>
              <w:rPr>
                <w:sz w:val="18"/>
              </w:rPr>
            </w:pPr>
            <w:r>
              <w:rPr>
                <w:sz w:val="18"/>
              </w:rPr>
              <w:t>— </w:t>
            </w:r>
          </w:p>
        </w:tc>
        <w:tc>
          <w:tcPr>
            <w:tcW w:w="2552" w:type="dxa"/>
          </w:tcPr>
          <w:p>
            <w:pPr>
              <w:pStyle w:val="TableParagraph"/>
              <w:spacing w:line="230" w:lineRule="exact" w:before="0"/>
              <w:ind w:left="205"/>
              <w:rPr>
                <w:sz w:val="18"/>
              </w:rPr>
            </w:pPr>
            <w:r>
              <w:rPr>
                <w:sz w:val="18"/>
              </w:rPr>
              <w:t>处理设备模块化、集成化、</w:t>
            </w:r>
          </w:p>
          <w:p>
            <w:pPr>
              <w:pStyle w:val="TableParagraph"/>
              <w:spacing w:line="213" w:lineRule="exact" w:before="4"/>
              <w:ind w:left="25"/>
              <w:rPr>
                <w:sz w:val="18"/>
              </w:rPr>
            </w:pPr>
            <w:r>
              <w:rPr>
                <w:sz w:val="18"/>
              </w:rPr>
              <w:t>通用化、标准化 </w:t>
            </w:r>
          </w:p>
        </w:tc>
        <w:tc>
          <w:tcPr>
            <w:tcW w:w="2269" w:type="dxa"/>
          </w:tcPr>
          <w:p>
            <w:pPr>
              <w:pStyle w:val="TableParagraph"/>
              <w:spacing w:before="117"/>
              <w:ind w:left="237" w:right="1"/>
              <w:jc w:val="center"/>
              <w:rPr>
                <w:sz w:val="18"/>
              </w:rPr>
            </w:pPr>
            <w:r>
              <w:rPr>
                <w:sz w:val="18"/>
              </w:rPr>
              <w:t>提供合格证明或检测报告 </w:t>
            </w:r>
          </w:p>
        </w:tc>
        <w:tc>
          <w:tcPr>
            <w:tcW w:w="999" w:type="dxa"/>
          </w:tcPr>
          <w:p>
            <w:pPr>
              <w:pStyle w:val="TableParagraph"/>
              <w:spacing w:before="117"/>
              <w:ind w:left="162" w:right="66"/>
              <w:jc w:val="center"/>
              <w:rPr>
                <w:sz w:val="18"/>
              </w:rPr>
            </w:pPr>
            <w:r>
              <w:rPr>
                <w:sz w:val="18"/>
              </w:rPr>
              <w:t>产品设计 </w:t>
            </w:r>
          </w:p>
        </w:tc>
      </w:tr>
      <w:tr>
        <w:trPr>
          <w:trHeight w:val="467" w:hRule="atLeast"/>
        </w:trPr>
        <w:tc>
          <w:tcPr>
            <w:tcW w:w="999" w:type="dxa"/>
            <w:vMerge/>
            <w:tcBorders>
              <w:top w:val="nil"/>
            </w:tcBorders>
          </w:tcPr>
          <w:p>
            <w:pPr>
              <w:rPr>
                <w:sz w:val="2"/>
                <w:szCs w:val="2"/>
              </w:rPr>
            </w:pPr>
          </w:p>
        </w:tc>
        <w:tc>
          <w:tcPr>
            <w:tcW w:w="2696" w:type="dxa"/>
          </w:tcPr>
          <w:p>
            <w:pPr>
              <w:pStyle w:val="TableParagraph"/>
              <w:spacing w:before="117"/>
              <w:ind w:left="111" w:right="13"/>
              <w:jc w:val="center"/>
              <w:rPr>
                <w:sz w:val="18"/>
              </w:rPr>
            </w:pPr>
            <w:r>
              <w:rPr>
                <w:sz w:val="18"/>
              </w:rPr>
              <w:t>钢材利用率 </w:t>
            </w:r>
          </w:p>
        </w:tc>
        <w:tc>
          <w:tcPr>
            <w:tcW w:w="708" w:type="dxa"/>
          </w:tcPr>
          <w:p>
            <w:pPr>
              <w:pStyle w:val="TableParagraph"/>
              <w:spacing w:before="129"/>
              <w:ind w:left="7"/>
              <w:jc w:val="center"/>
              <w:rPr>
                <w:rFonts w:ascii="Times New Roman"/>
                <w:sz w:val="18"/>
              </w:rPr>
            </w:pPr>
            <w:r>
              <w:rPr>
                <w:rFonts w:ascii="Times New Roman"/>
                <w:w w:val="99"/>
                <w:sz w:val="18"/>
              </w:rPr>
              <w:t>%</w:t>
            </w:r>
          </w:p>
        </w:tc>
        <w:tc>
          <w:tcPr>
            <w:tcW w:w="2552" w:type="dxa"/>
          </w:tcPr>
          <w:p>
            <w:pPr>
              <w:pStyle w:val="TableParagraph"/>
              <w:spacing w:before="117"/>
              <w:ind w:left="399" w:right="303"/>
              <w:jc w:val="center"/>
              <w:rPr>
                <w:sz w:val="18"/>
              </w:rPr>
            </w:pPr>
            <w:r>
              <w:rPr>
                <w:sz w:val="18"/>
              </w:rPr>
              <w:t>≥95 </w:t>
            </w:r>
          </w:p>
        </w:tc>
        <w:tc>
          <w:tcPr>
            <w:tcW w:w="2269" w:type="dxa"/>
          </w:tcPr>
          <w:p>
            <w:pPr>
              <w:pStyle w:val="TableParagraph"/>
              <w:spacing w:before="0"/>
              <w:ind w:left="207"/>
              <w:rPr>
                <w:sz w:val="18"/>
              </w:rPr>
            </w:pPr>
            <w:r>
              <w:rPr>
                <w:sz w:val="18"/>
              </w:rPr>
              <w:t>按照A.1 计算并提供证明</w:t>
            </w:r>
          </w:p>
          <w:p>
            <w:pPr>
              <w:pStyle w:val="TableParagraph"/>
              <w:spacing w:line="215" w:lineRule="exact" w:before="2"/>
              <w:ind w:left="27"/>
              <w:rPr>
                <w:sz w:val="18"/>
              </w:rPr>
            </w:pPr>
            <w:r>
              <w:rPr>
                <w:sz w:val="18"/>
              </w:rPr>
              <w:t>材料 </w:t>
            </w:r>
          </w:p>
        </w:tc>
        <w:tc>
          <w:tcPr>
            <w:tcW w:w="999" w:type="dxa"/>
          </w:tcPr>
          <w:p>
            <w:pPr>
              <w:pStyle w:val="TableParagraph"/>
              <w:spacing w:before="117"/>
              <w:ind w:left="162" w:right="66"/>
              <w:jc w:val="center"/>
              <w:rPr>
                <w:sz w:val="18"/>
              </w:rPr>
            </w:pPr>
            <w:r>
              <w:rPr>
                <w:sz w:val="18"/>
              </w:rPr>
              <w:t>产品生产 </w:t>
            </w:r>
          </w:p>
        </w:tc>
      </w:tr>
      <w:tr>
        <w:trPr>
          <w:trHeight w:val="465" w:hRule="atLeast"/>
        </w:trPr>
        <w:tc>
          <w:tcPr>
            <w:tcW w:w="999" w:type="dxa"/>
            <w:vMerge/>
            <w:tcBorders>
              <w:top w:val="nil"/>
            </w:tcBorders>
          </w:tcPr>
          <w:p>
            <w:pPr>
              <w:rPr>
                <w:sz w:val="2"/>
                <w:szCs w:val="2"/>
              </w:rPr>
            </w:pPr>
          </w:p>
        </w:tc>
        <w:tc>
          <w:tcPr>
            <w:tcW w:w="2696" w:type="dxa"/>
          </w:tcPr>
          <w:p>
            <w:pPr>
              <w:pStyle w:val="TableParagraph"/>
              <w:spacing w:before="115"/>
              <w:ind w:left="112" w:right="13"/>
              <w:jc w:val="center"/>
              <w:rPr>
                <w:sz w:val="18"/>
              </w:rPr>
            </w:pPr>
            <w:r>
              <w:rPr>
                <w:sz w:val="18"/>
              </w:rPr>
              <w:t>关键采购件中的有害物质含量 </w:t>
            </w:r>
          </w:p>
        </w:tc>
        <w:tc>
          <w:tcPr>
            <w:tcW w:w="708" w:type="dxa"/>
          </w:tcPr>
          <w:p>
            <w:pPr>
              <w:pStyle w:val="TableParagraph"/>
              <w:spacing w:before="115"/>
              <w:ind w:left="260"/>
              <w:rPr>
                <w:sz w:val="18"/>
              </w:rPr>
            </w:pPr>
            <w:r>
              <w:rPr>
                <w:sz w:val="18"/>
              </w:rPr>
              <w:t>— </w:t>
            </w:r>
          </w:p>
        </w:tc>
        <w:tc>
          <w:tcPr>
            <w:tcW w:w="2552" w:type="dxa"/>
          </w:tcPr>
          <w:p>
            <w:pPr>
              <w:pStyle w:val="TableParagraph"/>
              <w:spacing w:before="0"/>
              <w:ind w:left="205"/>
              <w:rPr>
                <w:sz w:val="18"/>
              </w:rPr>
            </w:pPr>
            <w:r>
              <w:rPr>
                <w:sz w:val="18"/>
              </w:rPr>
              <w:t>关键采购件中的有害物质含</w:t>
            </w:r>
          </w:p>
          <w:p>
            <w:pPr>
              <w:pStyle w:val="TableParagraph"/>
              <w:spacing w:line="213" w:lineRule="exact" w:before="2"/>
              <w:ind w:left="25"/>
              <w:rPr>
                <w:sz w:val="18"/>
              </w:rPr>
            </w:pPr>
            <w:r>
              <w:rPr>
                <w:sz w:val="18"/>
              </w:rPr>
              <w:t>量应符合相关标准的要求 </w:t>
            </w:r>
          </w:p>
        </w:tc>
        <w:tc>
          <w:tcPr>
            <w:tcW w:w="2269" w:type="dxa"/>
          </w:tcPr>
          <w:p>
            <w:pPr>
              <w:pStyle w:val="TableParagraph"/>
              <w:spacing w:before="0"/>
              <w:ind w:left="207"/>
              <w:rPr>
                <w:sz w:val="18"/>
              </w:rPr>
            </w:pPr>
            <w:r>
              <w:rPr>
                <w:sz w:val="18"/>
              </w:rPr>
              <w:t>厂家提供合格证明或检测</w:t>
            </w:r>
          </w:p>
          <w:p>
            <w:pPr>
              <w:pStyle w:val="TableParagraph"/>
              <w:spacing w:line="213" w:lineRule="exact" w:before="2"/>
              <w:ind w:left="27"/>
              <w:rPr>
                <w:sz w:val="18"/>
              </w:rPr>
            </w:pPr>
            <w:r>
              <w:rPr>
                <w:sz w:val="18"/>
              </w:rPr>
              <w:t>报告 </w:t>
            </w:r>
          </w:p>
        </w:tc>
        <w:tc>
          <w:tcPr>
            <w:tcW w:w="999" w:type="dxa"/>
          </w:tcPr>
          <w:p>
            <w:pPr>
              <w:pStyle w:val="TableParagraph"/>
              <w:spacing w:before="115"/>
              <w:ind w:left="162" w:right="66"/>
              <w:jc w:val="center"/>
              <w:rPr>
                <w:sz w:val="18"/>
              </w:rPr>
            </w:pPr>
            <w:r>
              <w:rPr>
                <w:sz w:val="18"/>
              </w:rPr>
              <w:t>产品生产 </w:t>
            </w:r>
          </w:p>
        </w:tc>
      </w:tr>
      <w:tr>
        <w:trPr>
          <w:trHeight w:val="467" w:hRule="atLeast"/>
        </w:trPr>
        <w:tc>
          <w:tcPr>
            <w:tcW w:w="999" w:type="dxa"/>
            <w:vMerge/>
            <w:tcBorders>
              <w:top w:val="nil"/>
            </w:tcBorders>
          </w:tcPr>
          <w:p>
            <w:pPr>
              <w:rPr>
                <w:sz w:val="2"/>
                <w:szCs w:val="2"/>
              </w:rPr>
            </w:pPr>
          </w:p>
        </w:tc>
        <w:tc>
          <w:tcPr>
            <w:tcW w:w="2696" w:type="dxa"/>
          </w:tcPr>
          <w:p>
            <w:pPr>
              <w:pStyle w:val="TableParagraph"/>
              <w:spacing w:before="117"/>
              <w:ind w:left="109" w:right="13"/>
              <w:jc w:val="center"/>
              <w:rPr>
                <w:sz w:val="18"/>
              </w:rPr>
            </w:pPr>
            <w:r>
              <w:rPr>
                <w:sz w:val="18"/>
              </w:rPr>
              <w:t>产品包装 </w:t>
            </w:r>
          </w:p>
        </w:tc>
        <w:tc>
          <w:tcPr>
            <w:tcW w:w="708" w:type="dxa"/>
          </w:tcPr>
          <w:p>
            <w:pPr>
              <w:pStyle w:val="TableParagraph"/>
              <w:spacing w:before="117"/>
              <w:ind w:left="260"/>
              <w:rPr>
                <w:sz w:val="18"/>
              </w:rPr>
            </w:pPr>
            <w:r>
              <w:rPr>
                <w:sz w:val="18"/>
              </w:rPr>
              <w:t>— </w:t>
            </w:r>
          </w:p>
        </w:tc>
        <w:tc>
          <w:tcPr>
            <w:tcW w:w="2552" w:type="dxa"/>
          </w:tcPr>
          <w:p>
            <w:pPr>
              <w:pStyle w:val="TableParagraph"/>
              <w:spacing w:line="230" w:lineRule="exact" w:before="0"/>
              <w:ind w:left="205"/>
              <w:rPr>
                <w:sz w:val="18"/>
              </w:rPr>
            </w:pPr>
            <w:r>
              <w:rPr>
                <w:sz w:val="18"/>
              </w:rPr>
              <w:t>鼓励使用可回收或可降解的</w:t>
            </w:r>
          </w:p>
          <w:p>
            <w:pPr>
              <w:pStyle w:val="TableParagraph"/>
              <w:spacing w:line="213" w:lineRule="exact" w:before="4"/>
              <w:ind w:left="25"/>
              <w:rPr>
                <w:sz w:val="18"/>
              </w:rPr>
            </w:pPr>
            <w:r>
              <w:rPr>
                <w:sz w:val="18"/>
              </w:rPr>
              <w:t>材料 </w:t>
            </w:r>
          </w:p>
        </w:tc>
        <w:tc>
          <w:tcPr>
            <w:tcW w:w="2269" w:type="dxa"/>
          </w:tcPr>
          <w:p>
            <w:pPr>
              <w:pStyle w:val="TableParagraph"/>
              <w:spacing w:line="230" w:lineRule="exact" w:before="0"/>
              <w:ind w:left="207"/>
              <w:rPr>
                <w:sz w:val="18"/>
              </w:rPr>
            </w:pPr>
            <w:r>
              <w:rPr>
                <w:sz w:val="18"/>
              </w:rPr>
              <w:t>提供包装设计说明文件或</w:t>
            </w:r>
          </w:p>
          <w:p>
            <w:pPr>
              <w:pStyle w:val="TableParagraph"/>
              <w:spacing w:line="213" w:lineRule="exact" w:before="4"/>
              <w:ind w:left="27"/>
              <w:rPr>
                <w:sz w:val="18"/>
              </w:rPr>
            </w:pPr>
            <w:r>
              <w:rPr>
                <w:sz w:val="18"/>
              </w:rPr>
              <w:t>证明材料 </w:t>
            </w:r>
          </w:p>
        </w:tc>
        <w:tc>
          <w:tcPr>
            <w:tcW w:w="999" w:type="dxa"/>
          </w:tcPr>
          <w:p>
            <w:pPr>
              <w:pStyle w:val="TableParagraph"/>
              <w:spacing w:before="117"/>
              <w:ind w:left="162" w:right="66"/>
              <w:jc w:val="center"/>
              <w:rPr>
                <w:sz w:val="18"/>
              </w:rPr>
            </w:pPr>
            <w:r>
              <w:rPr>
                <w:sz w:val="18"/>
              </w:rPr>
              <w:t>产品生产 </w:t>
            </w:r>
          </w:p>
        </w:tc>
      </w:tr>
      <w:tr>
        <w:trPr>
          <w:trHeight w:val="1165" w:hRule="atLeast"/>
        </w:trPr>
        <w:tc>
          <w:tcPr>
            <w:tcW w:w="999" w:type="dxa"/>
          </w:tcPr>
          <w:p>
            <w:pPr>
              <w:pStyle w:val="TableParagraph"/>
              <w:spacing w:before="0"/>
              <w:ind w:left="0"/>
              <w:rPr>
                <w:rFonts w:ascii="黑体"/>
                <w:sz w:val="18"/>
              </w:rPr>
            </w:pPr>
          </w:p>
          <w:p>
            <w:pPr>
              <w:pStyle w:val="TableParagraph"/>
              <w:spacing w:before="6"/>
              <w:ind w:left="0"/>
              <w:rPr>
                <w:rFonts w:ascii="黑体"/>
                <w:sz w:val="18"/>
              </w:rPr>
            </w:pPr>
          </w:p>
          <w:p>
            <w:pPr>
              <w:pStyle w:val="TableParagraph"/>
              <w:spacing w:before="0"/>
              <w:ind w:left="0" w:right="39"/>
              <w:jc w:val="right"/>
              <w:rPr>
                <w:sz w:val="18"/>
              </w:rPr>
            </w:pPr>
            <w:r>
              <w:rPr>
                <w:sz w:val="18"/>
              </w:rPr>
              <w:t>能源属性 </w:t>
            </w:r>
          </w:p>
        </w:tc>
        <w:tc>
          <w:tcPr>
            <w:tcW w:w="2696" w:type="dxa"/>
          </w:tcPr>
          <w:p>
            <w:pPr>
              <w:pStyle w:val="TableParagraph"/>
              <w:spacing w:before="0"/>
              <w:ind w:left="0"/>
              <w:rPr>
                <w:rFonts w:ascii="黑体"/>
                <w:sz w:val="18"/>
              </w:rPr>
            </w:pPr>
          </w:p>
          <w:p>
            <w:pPr>
              <w:pStyle w:val="TableParagraph"/>
              <w:spacing w:before="6"/>
              <w:ind w:left="0"/>
              <w:rPr>
                <w:rFonts w:ascii="黑体"/>
                <w:sz w:val="18"/>
              </w:rPr>
            </w:pPr>
          </w:p>
          <w:p>
            <w:pPr>
              <w:pStyle w:val="TableParagraph"/>
              <w:spacing w:before="0"/>
              <w:ind w:left="109" w:right="13"/>
              <w:jc w:val="center"/>
              <w:rPr>
                <w:sz w:val="18"/>
              </w:rPr>
            </w:pPr>
            <w:r>
              <w:rPr>
                <w:sz w:val="18"/>
              </w:rPr>
              <w:t>单位污泥处理综合能耗 </w:t>
            </w:r>
          </w:p>
        </w:tc>
        <w:tc>
          <w:tcPr>
            <w:tcW w:w="708" w:type="dxa"/>
          </w:tcPr>
          <w:p>
            <w:pPr>
              <w:pStyle w:val="TableParagraph"/>
              <w:spacing w:before="0"/>
              <w:ind w:left="0"/>
              <w:rPr>
                <w:rFonts w:ascii="黑体"/>
                <w:sz w:val="18"/>
              </w:rPr>
            </w:pPr>
          </w:p>
          <w:p>
            <w:pPr>
              <w:pStyle w:val="TableParagraph"/>
              <w:spacing w:before="6"/>
              <w:ind w:left="0"/>
              <w:rPr>
                <w:rFonts w:ascii="黑体"/>
                <w:sz w:val="18"/>
              </w:rPr>
            </w:pPr>
          </w:p>
          <w:p>
            <w:pPr>
              <w:pStyle w:val="TableParagraph"/>
              <w:spacing w:before="0"/>
              <w:ind w:left="80" w:right="-15"/>
              <w:rPr>
                <w:sz w:val="18"/>
              </w:rPr>
            </w:pPr>
            <w:r>
              <w:rPr>
                <w:sz w:val="18"/>
              </w:rPr>
              <w:t>kgce/t </w:t>
            </w:r>
          </w:p>
        </w:tc>
        <w:tc>
          <w:tcPr>
            <w:tcW w:w="2552" w:type="dxa"/>
          </w:tcPr>
          <w:p>
            <w:pPr>
              <w:pStyle w:val="TableParagraph"/>
              <w:spacing w:line="230" w:lineRule="exact" w:before="0"/>
              <w:ind w:left="399" w:right="303"/>
              <w:jc w:val="center"/>
              <w:rPr>
                <w:sz w:val="18"/>
              </w:rPr>
            </w:pPr>
            <w:r>
              <w:rPr>
                <w:sz w:val="18"/>
              </w:rPr>
              <w:t>≤55 </w:t>
            </w:r>
          </w:p>
          <w:p>
            <w:pPr>
              <w:pStyle w:val="TableParagraph"/>
              <w:spacing w:line="242" w:lineRule="auto" w:before="2"/>
              <w:ind w:left="25" w:right="15" w:firstLine="180"/>
              <w:jc w:val="both"/>
              <w:rPr>
                <w:sz w:val="18"/>
              </w:rPr>
            </w:pPr>
            <w:r>
              <w:rPr>
                <w:sz w:val="18"/>
              </w:rPr>
              <w:t>（含水率从80</w:t>
            </w:r>
            <w:r>
              <w:rPr>
                <w:rFonts w:ascii="Times New Roman" w:eastAsia="Times New Roman"/>
                <w:sz w:val="18"/>
              </w:rPr>
              <w:t>%</w:t>
            </w:r>
            <w:r>
              <w:rPr>
                <w:sz w:val="18"/>
              </w:rPr>
              <w:t>降至10</w:t>
            </w:r>
            <w:r>
              <w:rPr>
                <w:rFonts w:ascii="Times New Roman" w:eastAsia="Times New Roman"/>
                <w:sz w:val="18"/>
              </w:rPr>
              <w:t>%</w:t>
            </w:r>
            <w:r>
              <w:rPr>
                <w:sz w:val="18"/>
              </w:rPr>
              <w:t>，企业应按进料污泥实际含水率及碳化污泥实际含水率，按照A.3</w:t>
            </w:r>
          </w:p>
          <w:p>
            <w:pPr>
              <w:pStyle w:val="TableParagraph"/>
              <w:spacing w:line="213" w:lineRule="exact" w:before="2"/>
              <w:ind w:left="25"/>
              <w:rPr>
                <w:sz w:val="18"/>
              </w:rPr>
            </w:pPr>
            <w:r>
              <w:rPr>
                <w:sz w:val="18"/>
              </w:rPr>
              <w:t>对此指标进行修正） </w:t>
            </w:r>
          </w:p>
        </w:tc>
        <w:tc>
          <w:tcPr>
            <w:tcW w:w="2269" w:type="dxa"/>
          </w:tcPr>
          <w:p>
            <w:pPr>
              <w:pStyle w:val="TableParagraph"/>
              <w:spacing w:before="0"/>
              <w:ind w:left="0"/>
              <w:rPr>
                <w:rFonts w:ascii="黑体"/>
                <w:sz w:val="18"/>
              </w:rPr>
            </w:pPr>
          </w:p>
          <w:p>
            <w:pPr>
              <w:pStyle w:val="TableParagraph"/>
              <w:spacing w:line="242" w:lineRule="auto" w:before="119"/>
              <w:ind w:left="27" w:right="15" w:firstLine="180"/>
              <w:rPr>
                <w:sz w:val="18"/>
              </w:rPr>
            </w:pPr>
            <w:r>
              <w:rPr>
                <w:sz w:val="18"/>
              </w:rPr>
              <w:t>按照A.2 计算并提供证明材料 </w:t>
            </w:r>
          </w:p>
        </w:tc>
        <w:tc>
          <w:tcPr>
            <w:tcW w:w="999" w:type="dxa"/>
          </w:tcPr>
          <w:p>
            <w:pPr>
              <w:pStyle w:val="TableParagraph"/>
              <w:spacing w:before="0"/>
              <w:ind w:left="0"/>
              <w:rPr>
                <w:rFonts w:ascii="黑体"/>
                <w:sz w:val="18"/>
              </w:rPr>
            </w:pPr>
          </w:p>
          <w:p>
            <w:pPr>
              <w:pStyle w:val="TableParagraph"/>
              <w:spacing w:before="6"/>
              <w:ind w:left="0"/>
              <w:rPr>
                <w:rFonts w:ascii="黑体"/>
                <w:sz w:val="18"/>
              </w:rPr>
            </w:pPr>
          </w:p>
          <w:p>
            <w:pPr>
              <w:pStyle w:val="TableParagraph"/>
              <w:spacing w:before="0"/>
              <w:ind w:left="162" w:right="66"/>
              <w:jc w:val="center"/>
              <w:rPr>
                <w:sz w:val="18"/>
              </w:rPr>
            </w:pPr>
            <w:r>
              <w:rPr>
                <w:sz w:val="18"/>
              </w:rPr>
              <w:t>产品使用 </w:t>
            </w:r>
          </w:p>
        </w:tc>
      </w:tr>
      <w:tr>
        <w:trPr>
          <w:trHeight w:val="468" w:hRule="atLeast"/>
        </w:trPr>
        <w:tc>
          <w:tcPr>
            <w:tcW w:w="99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141"/>
              <w:ind w:left="136"/>
              <w:rPr>
                <w:sz w:val="18"/>
              </w:rPr>
            </w:pPr>
            <w:r>
              <w:rPr>
                <w:sz w:val="18"/>
              </w:rPr>
              <w:t>环境属性 </w:t>
            </w:r>
          </w:p>
        </w:tc>
        <w:tc>
          <w:tcPr>
            <w:tcW w:w="2696" w:type="dxa"/>
          </w:tcPr>
          <w:p>
            <w:pPr>
              <w:pStyle w:val="TableParagraph"/>
              <w:spacing w:before="118"/>
              <w:ind w:left="111" w:right="13"/>
              <w:jc w:val="center"/>
              <w:rPr>
                <w:sz w:val="18"/>
              </w:rPr>
            </w:pPr>
            <w:r>
              <w:rPr>
                <w:sz w:val="18"/>
              </w:rPr>
              <w:t>固体废物回收率 </w:t>
            </w:r>
          </w:p>
        </w:tc>
        <w:tc>
          <w:tcPr>
            <w:tcW w:w="708" w:type="dxa"/>
          </w:tcPr>
          <w:p>
            <w:pPr>
              <w:pStyle w:val="TableParagraph"/>
              <w:spacing w:before="132"/>
              <w:ind w:left="7"/>
              <w:jc w:val="center"/>
              <w:rPr>
                <w:rFonts w:ascii="Times New Roman"/>
                <w:sz w:val="18"/>
              </w:rPr>
            </w:pPr>
            <w:r>
              <w:rPr>
                <w:rFonts w:ascii="Times New Roman"/>
                <w:w w:val="99"/>
                <w:sz w:val="18"/>
              </w:rPr>
              <w:t>%</w:t>
            </w:r>
          </w:p>
        </w:tc>
        <w:tc>
          <w:tcPr>
            <w:tcW w:w="2552" w:type="dxa"/>
          </w:tcPr>
          <w:p>
            <w:pPr>
              <w:pStyle w:val="TableParagraph"/>
              <w:spacing w:before="118"/>
              <w:ind w:left="399" w:right="303"/>
              <w:jc w:val="center"/>
              <w:rPr>
                <w:sz w:val="18"/>
              </w:rPr>
            </w:pPr>
            <w:r>
              <w:rPr>
                <w:sz w:val="18"/>
              </w:rPr>
              <w:t>≥95 </w:t>
            </w:r>
          </w:p>
        </w:tc>
        <w:tc>
          <w:tcPr>
            <w:tcW w:w="2269" w:type="dxa"/>
          </w:tcPr>
          <w:p>
            <w:pPr>
              <w:pStyle w:val="TableParagraph"/>
              <w:spacing w:line="230" w:lineRule="atLeast" w:before="2"/>
              <w:ind w:left="27" w:right="15" w:firstLine="180"/>
              <w:rPr>
                <w:sz w:val="18"/>
              </w:rPr>
            </w:pPr>
            <w:r>
              <w:rPr>
                <w:sz w:val="18"/>
              </w:rPr>
              <w:t>按照A.4 计算固体废物回收率，并提供证明材料 </w:t>
            </w:r>
          </w:p>
        </w:tc>
        <w:tc>
          <w:tcPr>
            <w:tcW w:w="999" w:type="dxa"/>
          </w:tcPr>
          <w:p>
            <w:pPr>
              <w:pStyle w:val="TableParagraph"/>
              <w:spacing w:before="118"/>
              <w:ind w:left="162" w:right="66"/>
              <w:jc w:val="center"/>
              <w:rPr>
                <w:sz w:val="18"/>
              </w:rPr>
            </w:pPr>
            <w:r>
              <w:rPr>
                <w:sz w:val="18"/>
              </w:rPr>
              <w:t>产品生产 </w:t>
            </w:r>
          </w:p>
        </w:tc>
      </w:tr>
      <w:tr>
        <w:trPr>
          <w:trHeight w:val="467" w:hRule="atLeast"/>
        </w:trPr>
        <w:tc>
          <w:tcPr>
            <w:tcW w:w="999" w:type="dxa"/>
            <w:vMerge/>
            <w:tcBorders>
              <w:top w:val="nil"/>
            </w:tcBorders>
          </w:tcPr>
          <w:p>
            <w:pPr>
              <w:rPr>
                <w:sz w:val="2"/>
                <w:szCs w:val="2"/>
              </w:rPr>
            </w:pPr>
          </w:p>
        </w:tc>
        <w:tc>
          <w:tcPr>
            <w:tcW w:w="2696" w:type="dxa"/>
          </w:tcPr>
          <w:p>
            <w:pPr>
              <w:pStyle w:val="TableParagraph"/>
              <w:spacing w:before="117"/>
              <w:ind w:left="113" w:right="13"/>
              <w:jc w:val="center"/>
              <w:rPr>
                <w:sz w:val="18"/>
              </w:rPr>
            </w:pPr>
            <w:r>
              <w:rPr>
                <w:sz w:val="18"/>
              </w:rPr>
              <w:t>有组织废气（颗粒物）排放浓度 </w:t>
            </w:r>
          </w:p>
        </w:tc>
        <w:tc>
          <w:tcPr>
            <w:tcW w:w="708" w:type="dxa"/>
          </w:tcPr>
          <w:p>
            <w:pPr>
              <w:pStyle w:val="TableParagraph"/>
              <w:spacing w:before="117"/>
              <w:ind w:left="148"/>
              <w:rPr>
                <w:sz w:val="18"/>
              </w:rPr>
            </w:pPr>
            <w:r>
              <w:rPr>
                <w:sz w:val="18"/>
              </w:rPr>
              <w:t>mg/m</w:t>
            </w:r>
            <w:r>
              <w:rPr>
                <w:position w:val="9"/>
                <w:sz w:val="9"/>
              </w:rPr>
              <w:t>3</w:t>
            </w:r>
            <w:r>
              <w:rPr>
                <w:sz w:val="18"/>
              </w:rPr>
              <w:t> </w:t>
            </w:r>
          </w:p>
        </w:tc>
        <w:tc>
          <w:tcPr>
            <w:tcW w:w="2552" w:type="dxa"/>
          </w:tcPr>
          <w:p>
            <w:pPr>
              <w:pStyle w:val="TableParagraph"/>
              <w:spacing w:before="117"/>
              <w:ind w:left="399" w:right="303"/>
              <w:jc w:val="center"/>
              <w:rPr>
                <w:sz w:val="18"/>
              </w:rPr>
            </w:pPr>
            <w:r>
              <w:rPr>
                <w:sz w:val="18"/>
              </w:rPr>
              <w:t>≤10 </w:t>
            </w:r>
          </w:p>
        </w:tc>
        <w:tc>
          <w:tcPr>
            <w:tcW w:w="2269" w:type="dxa"/>
          </w:tcPr>
          <w:p>
            <w:pPr>
              <w:pStyle w:val="TableParagraph"/>
              <w:spacing w:before="0"/>
              <w:ind w:left="207"/>
              <w:rPr>
                <w:sz w:val="18"/>
              </w:rPr>
            </w:pPr>
            <w:r>
              <w:rPr>
                <w:sz w:val="18"/>
              </w:rPr>
              <w:t>按照GB 18485的要求进行</w:t>
            </w:r>
          </w:p>
          <w:p>
            <w:pPr>
              <w:pStyle w:val="TableParagraph"/>
              <w:spacing w:line="213" w:lineRule="exact" w:before="4"/>
              <w:ind w:left="27"/>
              <w:rPr>
                <w:sz w:val="18"/>
              </w:rPr>
            </w:pPr>
            <w:r>
              <w:rPr>
                <w:sz w:val="18"/>
              </w:rPr>
              <w:t>检测，并提供检测报告 </w:t>
            </w:r>
          </w:p>
        </w:tc>
        <w:tc>
          <w:tcPr>
            <w:tcW w:w="99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133"/>
              <w:ind w:left="137"/>
              <w:rPr>
                <w:sz w:val="18"/>
              </w:rPr>
            </w:pPr>
            <w:r>
              <w:rPr>
                <w:sz w:val="18"/>
              </w:rPr>
              <w:t>产品使用 </w:t>
            </w:r>
          </w:p>
        </w:tc>
      </w:tr>
      <w:tr>
        <w:trPr>
          <w:trHeight w:val="467" w:hRule="atLeast"/>
        </w:trPr>
        <w:tc>
          <w:tcPr>
            <w:tcW w:w="999" w:type="dxa"/>
            <w:vMerge/>
            <w:tcBorders>
              <w:top w:val="nil"/>
            </w:tcBorders>
          </w:tcPr>
          <w:p>
            <w:pPr>
              <w:rPr>
                <w:sz w:val="2"/>
                <w:szCs w:val="2"/>
              </w:rPr>
            </w:pPr>
          </w:p>
        </w:tc>
        <w:tc>
          <w:tcPr>
            <w:tcW w:w="2696" w:type="dxa"/>
          </w:tcPr>
          <w:p>
            <w:pPr>
              <w:pStyle w:val="TableParagraph"/>
              <w:spacing w:line="230" w:lineRule="exact" w:before="0"/>
              <w:ind w:left="19" w:right="13"/>
              <w:jc w:val="center"/>
              <w:rPr>
                <w:sz w:val="18"/>
              </w:rPr>
            </w:pPr>
            <w:r>
              <w:rPr>
                <w:sz w:val="18"/>
              </w:rPr>
              <w:t>有组织废气（非甲烷总烃）排放</w:t>
            </w:r>
          </w:p>
          <w:p>
            <w:pPr>
              <w:pStyle w:val="TableParagraph"/>
              <w:spacing w:line="215" w:lineRule="exact" w:before="2"/>
              <w:ind w:left="113" w:right="2"/>
              <w:jc w:val="center"/>
              <w:rPr>
                <w:sz w:val="21"/>
              </w:rPr>
            </w:pPr>
            <w:r>
              <w:rPr>
                <w:sz w:val="18"/>
              </w:rPr>
              <w:t>浓度</w:t>
            </w:r>
            <w:r>
              <w:rPr>
                <w:w w:val="100"/>
                <w:sz w:val="21"/>
              </w:rPr>
              <w:t> </w:t>
            </w:r>
          </w:p>
        </w:tc>
        <w:tc>
          <w:tcPr>
            <w:tcW w:w="708" w:type="dxa"/>
          </w:tcPr>
          <w:p>
            <w:pPr>
              <w:pStyle w:val="TableParagraph"/>
              <w:spacing w:before="117"/>
              <w:ind w:left="148"/>
              <w:rPr>
                <w:sz w:val="18"/>
              </w:rPr>
            </w:pPr>
            <w:r>
              <w:rPr>
                <w:sz w:val="18"/>
              </w:rPr>
              <w:t>mg/m</w:t>
            </w:r>
            <w:r>
              <w:rPr>
                <w:position w:val="9"/>
                <w:sz w:val="9"/>
              </w:rPr>
              <w:t>3</w:t>
            </w:r>
            <w:r>
              <w:rPr>
                <w:sz w:val="18"/>
              </w:rPr>
              <w:t> </w:t>
            </w:r>
          </w:p>
        </w:tc>
        <w:tc>
          <w:tcPr>
            <w:tcW w:w="2552" w:type="dxa"/>
          </w:tcPr>
          <w:p>
            <w:pPr>
              <w:pStyle w:val="TableParagraph"/>
              <w:spacing w:before="117"/>
              <w:ind w:left="399" w:right="303"/>
              <w:jc w:val="center"/>
              <w:rPr>
                <w:sz w:val="18"/>
              </w:rPr>
            </w:pPr>
            <w:r>
              <w:rPr>
                <w:sz w:val="18"/>
              </w:rPr>
              <w:t>≤30 </w:t>
            </w:r>
          </w:p>
        </w:tc>
        <w:tc>
          <w:tcPr>
            <w:tcW w:w="2269" w:type="dxa"/>
          </w:tcPr>
          <w:p>
            <w:pPr>
              <w:pStyle w:val="TableParagraph"/>
              <w:spacing w:line="230" w:lineRule="exact" w:before="0"/>
              <w:ind w:left="207"/>
              <w:rPr>
                <w:sz w:val="18"/>
              </w:rPr>
            </w:pPr>
            <w:r>
              <w:rPr>
                <w:sz w:val="18"/>
              </w:rPr>
              <w:t>按照GB 16297的要求进行</w:t>
            </w:r>
          </w:p>
          <w:p>
            <w:pPr>
              <w:pStyle w:val="TableParagraph"/>
              <w:spacing w:line="215" w:lineRule="exact" w:before="2"/>
              <w:ind w:left="27"/>
              <w:rPr>
                <w:sz w:val="18"/>
              </w:rPr>
            </w:pPr>
            <w:r>
              <w:rPr>
                <w:sz w:val="18"/>
              </w:rPr>
              <w:t>检测，并提供检测报告 </w:t>
            </w:r>
          </w:p>
        </w:tc>
        <w:tc>
          <w:tcPr>
            <w:tcW w:w="999" w:type="dxa"/>
            <w:vMerge/>
            <w:tcBorders>
              <w:top w:val="nil"/>
            </w:tcBorders>
          </w:tcPr>
          <w:p>
            <w:pPr>
              <w:rPr>
                <w:sz w:val="2"/>
                <w:szCs w:val="2"/>
              </w:rPr>
            </w:pPr>
          </w:p>
        </w:tc>
      </w:tr>
      <w:tr>
        <w:trPr>
          <w:trHeight w:val="465" w:hRule="atLeast"/>
        </w:trPr>
        <w:tc>
          <w:tcPr>
            <w:tcW w:w="999" w:type="dxa"/>
            <w:vMerge/>
            <w:tcBorders>
              <w:top w:val="nil"/>
            </w:tcBorders>
          </w:tcPr>
          <w:p>
            <w:pPr>
              <w:rPr>
                <w:sz w:val="2"/>
                <w:szCs w:val="2"/>
              </w:rPr>
            </w:pPr>
          </w:p>
        </w:tc>
        <w:tc>
          <w:tcPr>
            <w:tcW w:w="2696" w:type="dxa"/>
          </w:tcPr>
          <w:p>
            <w:pPr>
              <w:pStyle w:val="TableParagraph"/>
              <w:spacing w:before="115"/>
              <w:ind w:left="112" w:right="13"/>
              <w:jc w:val="center"/>
              <w:rPr>
                <w:sz w:val="18"/>
              </w:rPr>
            </w:pPr>
            <w:r>
              <w:rPr>
                <w:sz w:val="18"/>
              </w:rPr>
              <w:t>有组织废气排放臭气浓度 </w:t>
            </w:r>
          </w:p>
        </w:tc>
        <w:tc>
          <w:tcPr>
            <w:tcW w:w="708" w:type="dxa"/>
          </w:tcPr>
          <w:p>
            <w:pPr>
              <w:pStyle w:val="TableParagraph"/>
              <w:spacing w:before="115"/>
              <w:ind w:left="260"/>
              <w:rPr>
                <w:sz w:val="18"/>
              </w:rPr>
            </w:pPr>
            <w:r>
              <w:rPr>
                <w:sz w:val="18"/>
              </w:rPr>
              <w:t>— </w:t>
            </w:r>
          </w:p>
        </w:tc>
        <w:tc>
          <w:tcPr>
            <w:tcW w:w="2552" w:type="dxa"/>
          </w:tcPr>
          <w:p>
            <w:pPr>
              <w:pStyle w:val="TableParagraph"/>
              <w:spacing w:line="230" w:lineRule="exact" w:before="0"/>
              <w:ind w:left="399" w:right="303"/>
              <w:jc w:val="center"/>
              <w:rPr>
                <w:sz w:val="18"/>
              </w:rPr>
            </w:pPr>
            <w:r>
              <w:rPr>
                <w:sz w:val="18"/>
              </w:rPr>
              <w:t>2000 </w:t>
            </w:r>
          </w:p>
          <w:p>
            <w:pPr>
              <w:pStyle w:val="TableParagraph"/>
              <w:spacing w:line="213" w:lineRule="exact" w:before="2"/>
              <w:ind w:left="399" w:right="303"/>
              <w:jc w:val="center"/>
              <w:rPr>
                <w:sz w:val="18"/>
              </w:rPr>
            </w:pPr>
            <w:r>
              <w:rPr>
                <w:sz w:val="18"/>
              </w:rPr>
              <w:t>（排气筒高度≥15 m） </w:t>
            </w:r>
          </w:p>
        </w:tc>
        <w:tc>
          <w:tcPr>
            <w:tcW w:w="2269" w:type="dxa"/>
          </w:tcPr>
          <w:p>
            <w:pPr>
              <w:pStyle w:val="TableParagraph"/>
              <w:spacing w:line="230" w:lineRule="exact" w:before="0"/>
              <w:ind w:left="207"/>
              <w:rPr>
                <w:sz w:val="18"/>
              </w:rPr>
            </w:pPr>
            <w:r>
              <w:rPr>
                <w:sz w:val="18"/>
              </w:rPr>
              <w:t>按照GB 14554的要求进行</w:t>
            </w:r>
          </w:p>
          <w:p>
            <w:pPr>
              <w:pStyle w:val="TableParagraph"/>
              <w:spacing w:line="213" w:lineRule="exact" w:before="2"/>
              <w:ind w:left="27"/>
              <w:rPr>
                <w:sz w:val="18"/>
              </w:rPr>
            </w:pPr>
            <w:r>
              <w:rPr>
                <w:sz w:val="18"/>
              </w:rPr>
              <w:t>检测，并提供检测报告 </w:t>
            </w:r>
          </w:p>
        </w:tc>
        <w:tc>
          <w:tcPr>
            <w:tcW w:w="999" w:type="dxa"/>
            <w:vMerge/>
            <w:tcBorders>
              <w:top w:val="nil"/>
            </w:tcBorders>
          </w:tcPr>
          <w:p>
            <w:pPr>
              <w:rPr>
                <w:sz w:val="2"/>
                <w:szCs w:val="2"/>
              </w:rPr>
            </w:pPr>
          </w:p>
        </w:tc>
      </w:tr>
    </w:tbl>
    <w:p>
      <w:pPr>
        <w:pStyle w:val="BodyText"/>
        <w:spacing w:before="1"/>
        <w:ind w:left="838"/>
      </w:pPr>
      <w:r>
        <w:rPr>
          <w:w w:val="100"/>
        </w:rPr>
        <w:t> </w:t>
      </w:r>
    </w:p>
    <w:p>
      <w:pPr>
        <w:spacing w:after="0"/>
        <w:sectPr>
          <w:pgSz w:w="11910" w:h="16840"/>
          <w:pgMar w:header="1138" w:footer="1141" w:top="1320" w:bottom="1340" w:left="580" w:right="580"/>
        </w:sectPr>
      </w:pPr>
    </w:p>
    <w:p>
      <w:pPr>
        <w:pStyle w:val="BodyText"/>
        <w:spacing w:before="11"/>
        <w:rPr>
          <w:sz w:val="22"/>
        </w:rPr>
      </w:pPr>
    </w:p>
    <w:p>
      <w:pPr>
        <w:pStyle w:val="BodyText"/>
        <w:tabs>
          <w:tab w:pos="578" w:val="left" w:leader="none"/>
        </w:tabs>
        <w:spacing w:before="72"/>
        <w:ind w:right="282"/>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2</w:t>
        <w:tab/>
        <w:t>城</w:t>
      </w:r>
      <w:r>
        <w:rPr>
          <w:rFonts w:ascii="黑体" w:eastAsia="黑体" w:hint="eastAsia"/>
          <w:spacing w:val="-3"/>
        </w:rPr>
        <w:t>镇</w:t>
      </w:r>
      <w:r>
        <w:rPr>
          <w:rFonts w:ascii="黑体" w:eastAsia="黑体" w:hint="eastAsia"/>
        </w:rPr>
        <w:t>污</w:t>
      </w:r>
      <w:r>
        <w:rPr>
          <w:rFonts w:ascii="黑体" w:eastAsia="黑体" w:hint="eastAsia"/>
          <w:spacing w:val="-3"/>
        </w:rPr>
        <w:t>泥</w:t>
      </w:r>
      <w:r>
        <w:rPr>
          <w:rFonts w:ascii="黑体" w:eastAsia="黑体" w:hint="eastAsia"/>
        </w:rPr>
        <w:t>干</w:t>
      </w:r>
      <w:r>
        <w:rPr>
          <w:rFonts w:ascii="黑体" w:eastAsia="黑体" w:hint="eastAsia"/>
          <w:spacing w:val="-3"/>
        </w:rPr>
        <w:t>化</w:t>
      </w:r>
      <w:r>
        <w:rPr>
          <w:rFonts w:ascii="黑体" w:eastAsia="黑体" w:hint="eastAsia"/>
        </w:rPr>
        <w:t>碳</w:t>
      </w:r>
      <w:r>
        <w:rPr>
          <w:rFonts w:ascii="黑体" w:eastAsia="黑体" w:hint="eastAsia"/>
          <w:spacing w:val="-3"/>
        </w:rPr>
        <w:t>化</w:t>
      </w:r>
      <w:r>
        <w:rPr>
          <w:rFonts w:ascii="黑体" w:eastAsia="黑体" w:hint="eastAsia"/>
        </w:rPr>
        <w:t>处理</w:t>
      </w:r>
      <w:r>
        <w:rPr>
          <w:rFonts w:ascii="黑体" w:eastAsia="黑体" w:hint="eastAsia"/>
          <w:spacing w:val="-3"/>
        </w:rPr>
        <w:t>一</w:t>
      </w:r>
      <w:r>
        <w:rPr>
          <w:rFonts w:ascii="黑体" w:eastAsia="黑体" w:hint="eastAsia"/>
        </w:rPr>
        <w:t>体</w:t>
      </w:r>
      <w:r>
        <w:rPr>
          <w:rFonts w:ascii="黑体" w:eastAsia="黑体" w:hint="eastAsia"/>
          <w:spacing w:val="-3"/>
        </w:rPr>
        <w:t>化</w:t>
      </w:r>
      <w:r>
        <w:rPr>
          <w:rFonts w:ascii="黑体" w:eastAsia="黑体" w:hint="eastAsia"/>
        </w:rPr>
        <w:t>装</w:t>
      </w:r>
      <w:r>
        <w:rPr>
          <w:rFonts w:ascii="黑体" w:eastAsia="黑体" w:hint="eastAsia"/>
          <w:spacing w:val="-3"/>
        </w:rPr>
        <w:t>备</w:t>
      </w:r>
      <w:r>
        <w:rPr>
          <w:rFonts w:ascii="黑体" w:eastAsia="黑体" w:hint="eastAsia"/>
        </w:rPr>
        <w:t>评</w:t>
      </w:r>
      <w:r>
        <w:rPr>
          <w:rFonts w:ascii="黑体" w:eastAsia="黑体" w:hint="eastAsia"/>
          <w:spacing w:val="-3"/>
        </w:rPr>
        <w:t>价</w:t>
      </w:r>
      <w:r>
        <w:rPr>
          <w:rFonts w:ascii="黑体" w:eastAsia="黑体" w:hint="eastAsia"/>
        </w:rPr>
        <w:t>指</w:t>
      </w:r>
      <w:r>
        <w:rPr>
          <w:rFonts w:ascii="黑体" w:eastAsia="黑体" w:hint="eastAsia"/>
          <w:spacing w:val="-3"/>
        </w:rPr>
        <w:t>标</w:t>
      </w:r>
      <w:r>
        <w:rPr>
          <w:rFonts w:ascii="黑体" w:eastAsia="黑体" w:hint="eastAsia"/>
        </w:rPr>
        <w:t>（续）</w:t>
      </w:r>
    </w:p>
    <w:p>
      <w:pPr>
        <w:pStyle w:val="BodyText"/>
        <w:spacing w:before="5" w:after="1"/>
        <w:rPr>
          <w:rFonts w:ascii="黑体"/>
          <w:sz w:val="9"/>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9"/>
        <w:gridCol w:w="852"/>
        <w:gridCol w:w="1844"/>
        <w:gridCol w:w="708"/>
        <w:gridCol w:w="2552"/>
        <w:gridCol w:w="2269"/>
        <w:gridCol w:w="999"/>
      </w:tblGrid>
      <w:tr>
        <w:trPr>
          <w:trHeight w:val="467" w:hRule="atLeast"/>
        </w:trPr>
        <w:tc>
          <w:tcPr>
            <w:tcW w:w="999" w:type="dxa"/>
          </w:tcPr>
          <w:p>
            <w:pPr>
              <w:pStyle w:val="TableParagraph"/>
              <w:spacing w:before="117"/>
              <w:ind w:left="139"/>
              <w:rPr>
                <w:sz w:val="18"/>
              </w:rPr>
            </w:pPr>
            <w:r>
              <w:rPr>
                <w:sz w:val="18"/>
              </w:rPr>
              <w:t>一级指标 </w:t>
            </w:r>
          </w:p>
        </w:tc>
        <w:tc>
          <w:tcPr>
            <w:tcW w:w="2696" w:type="dxa"/>
            <w:gridSpan w:val="2"/>
          </w:tcPr>
          <w:p>
            <w:pPr>
              <w:pStyle w:val="TableParagraph"/>
              <w:spacing w:before="117"/>
              <w:ind w:left="986"/>
              <w:rPr>
                <w:sz w:val="18"/>
              </w:rPr>
            </w:pPr>
            <w:r>
              <w:rPr>
                <w:sz w:val="18"/>
              </w:rPr>
              <w:t>二级指标 </w:t>
            </w:r>
          </w:p>
        </w:tc>
        <w:tc>
          <w:tcPr>
            <w:tcW w:w="708" w:type="dxa"/>
          </w:tcPr>
          <w:p>
            <w:pPr>
              <w:pStyle w:val="TableParagraph"/>
              <w:spacing w:before="117"/>
              <w:ind w:left="104" w:right="3"/>
              <w:jc w:val="center"/>
              <w:rPr>
                <w:sz w:val="18"/>
              </w:rPr>
            </w:pPr>
            <w:r>
              <w:rPr>
                <w:sz w:val="18"/>
              </w:rPr>
              <w:t>单位 </w:t>
            </w:r>
          </w:p>
        </w:tc>
        <w:tc>
          <w:tcPr>
            <w:tcW w:w="2552" w:type="dxa"/>
          </w:tcPr>
          <w:p>
            <w:pPr>
              <w:pStyle w:val="TableParagraph"/>
              <w:spacing w:before="117"/>
              <w:ind w:left="399" w:right="301"/>
              <w:jc w:val="center"/>
              <w:rPr>
                <w:sz w:val="18"/>
              </w:rPr>
            </w:pPr>
            <w:r>
              <w:rPr>
                <w:sz w:val="18"/>
              </w:rPr>
              <w:t>基准值 </w:t>
            </w:r>
          </w:p>
        </w:tc>
        <w:tc>
          <w:tcPr>
            <w:tcW w:w="2269" w:type="dxa"/>
          </w:tcPr>
          <w:p>
            <w:pPr>
              <w:pStyle w:val="TableParagraph"/>
              <w:spacing w:before="117"/>
              <w:ind w:left="774"/>
              <w:rPr>
                <w:sz w:val="18"/>
              </w:rPr>
            </w:pPr>
            <w:r>
              <w:rPr>
                <w:sz w:val="18"/>
              </w:rPr>
              <w:t>判定依据 </w:t>
            </w:r>
          </w:p>
        </w:tc>
        <w:tc>
          <w:tcPr>
            <w:tcW w:w="999" w:type="dxa"/>
          </w:tcPr>
          <w:p>
            <w:pPr>
              <w:pStyle w:val="TableParagraph"/>
              <w:spacing w:line="230" w:lineRule="exact" w:before="0"/>
              <w:ind w:left="137"/>
              <w:rPr>
                <w:sz w:val="18"/>
              </w:rPr>
            </w:pPr>
            <w:r>
              <w:rPr>
                <w:sz w:val="18"/>
              </w:rPr>
              <w:t>所属生命 </w:t>
            </w:r>
          </w:p>
          <w:p>
            <w:pPr>
              <w:pStyle w:val="TableParagraph"/>
              <w:spacing w:line="213" w:lineRule="exact" w:before="4"/>
              <w:ind w:left="137"/>
              <w:rPr>
                <w:sz w:val="18"/>
              </w:rPr>
            </w:pPr>
            <w:r>
              <w:rPr>
                <w:sz w:val="18"/>
              </w:rPr>
              <w:t>周期阶段 </w:t>
            </w:r>
          </w:p>
        </w:tc>
      </w:tr>
      <w:tr>
        <w:trPr>
          <w:trHeight w:val="340" w:hRule="atLeast"/>
        </w:trPr>
        <w:tc>
          <w:tcPr>
            <w:tcW w:w="99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135"/>
              <w:ind w:left="139"/>
              <w:rPr>
                <w:sz w:val="18"/>
              </w:rPr>
            </w:pPr>
            <w:r>
              <w:rPr>
                <w:sz w:val="18"/>
              </w:rPr>
              <w:t>环境属性 </w:t>
            </w:r>
          </w:p>
        </w:tc>
        <w:tc>
          <w:tcPr>
            <w:tcW w:w="2696" w:type="dxa"/>
            <w:gridSpan w:val="2"/>
            <w:vMerge w:val="restart"/>
          </w:tcPr>
          <w:p>
            <w:pPr>
              <w:pStyle w:val="TableParagraph"/>
              <w:spacing w:before="9"/>
              <w:ind w:left="0"/>
              <w:rPr>
                <w:rFonts w:ascii="黑体"/>
                <w:sz w:val="17"/>
              </w:rPr>
            </w:pPr>
          </w:p>
          <w:p>
            <w:pPr>
              <w:pStyle w:val="TableParagraph"/>
              <w:spacing w:before="1"/>
              <w:ind w:left="625"/>
              <w:rPr>
                <w:sz w:val="18"/>
              </w:rPr>
            </w:pPr>
            <w:r>
              <w:rPr>
                <w:sz w:val="18"/>
              </w:rPr>
              <w:t>噪声（使用）排放 </w:t>
            </w:r>
          </w:p>
        </w:tc>
        <w:tc>
          <w:tcPr>
            <w:tcW w:w="708" w:type="dxa"/>
            <w:vMerge w:val="restart"/>
          </w:tcPr>
          <w:p>
            <w:pPr>
              <w:pStyle w:val="TableParagraph"/>
              <w:spacing w:before="9"/>
              <w:ind w:left="0"/>
              <w:rPr>
                <w:rFonts w:ascii="黑体"/>
                <w:sz w:val="17"/>
              </w:rPr>
            </w:pPr>
          </w:p>
          <w:p>
            <w:pPr>
              <w:pStyle w:val="TableParagraph"/>
              <w:spacing w:before="1"/>
              <w:ind w:left="263"/>
              <w:rPr>
                <w:sz w:val="18"/>
              </w:rPr>
            </w:pPr>
            <w:r>
              <w:rPr>
                <w:sz w:val="18"/>
              </w:rPr>
              <w:t>dB </w:t>
            </w:r>
          </w:p>
        </w:tc>
        <w:tc>
          <w:tcPr>
            <w:tcW w:w="2552" w:type="dxa"/>
          </w:tcPr>
          <w:p>
            <w:pPr>
              <w:pStyle w:val="TableParagraph"/>
              <w:ind w:left="0" w:right="633"/>
              <w:jc w:val="right"/>
              <w:rPr>
                <w:sz w:val="18"/>
              </w:rPr>
            </w:pPr>
            <w:r>
              <w:rPr>
                <w:sz w:val="18"/>
              </w:rPr>
              <w:t>≤65（昼间） </w:t>
            </w:r>
          </w:p>
        </w:tc>
        <w:tc>
          <w:tcPr>
            <w:tcW w:w="2269" w:type="dxa"/>
            <w:vMerge w:val="restart"/>
          </w:tcPr>
          <w:p>
            <w:pPr>
              <w:pStyle w:val="TableParagraph"/>
              <w:spacing w:line="242" w:lineRule="auto" w:before="112"/>
              <w:ind w:left="27" w:right="18" w:firstLine="180"/>
              <w:rPr>
                <w:sz w:val="18"/>
              </w:rPr>
            </w:pPr>
            <w:r>
              <w:rPr>
                <w:sz w:val="18"/>
              </w:rPr>
              <w:t>按照GB 12348的要求进行检测，并提供检测报告 </w:t>
            </w:r>
          </w:p>
        </w:tc>
        <w:tc>
          <w:tcPr>
            <w:tcW w:w="999" w:type="dxa"/>
            <w:vMerge w:val="restart"/>
          </w:tcPr>
          <w:p>
            <w:pPr>
              <w:pStyle w:val="TableParagraph"/>
              <w:spacing w:before="0"/>
              <w:ind w:left="0"/>
              <w:rPr>
                <w:rFonts w:ascii="黑体"/>
                <w:sz w:val="18"/>
              </w:rPr>
            </w:pPr>
          </w:p>
          <w:p>
            <w:pPr>
              <w:pStyle w:val="TableParagraph"/>
              <w:spacing w:before="6"/>
              <w:ind w:left="0"/>
              <w:rPr>
                <w:rFonts w:ascii="黑体"/>
                <w:sz w:val="18"/>
              </w:rPr>
            </w:pPr>
          </w:p>
          <w:p>
            <w:pPr>
              <w:pStyle w:val="TableParagraph"/>
              <w:spacing w:before="0"/>
              <w:ind w:left="137"/>
              <w:rPr>
                <w:sz w:val="18"/>
              </w:rPr>
            </w:pPr>
            <w:r>
              <w:rPr>
                <w:sz w:val="18"/>
              </w:rPr>
              <w:t>产品使用 </w:t>
            </w:r>
          </w:p>
        </w:tc>
      </w:tr>
      <w:tr>
        <w:trPr>
          <w:trHeight w:val="340" w:hRule="atLeast"/>
        </w:trPr>
        <w:tc>
          <w:tcPr>
            <w:tcW w:w="999" w:type="dxa"/>
            <w:vMerge/>
            <w:tcBorders>
              <w:top w:val="nil"/>
            </w:tcBorders>
          </w:tcPr>
          <w:p>
            <w:pPr>
              <w:rPr>
                <w:sz w:val="2"/>
                <w:szCs w:val="2"/>
              </w:rPr>
            </w:pPr>
          </w:p>
        </w:tc>
        <w:tc>
          <w:tcPr>
            <w:tcW w:w="2696" w:type="dxa"/>
            <w:gridSpan w:val="2"/>
            <w:vMerge/>
            <w:tcBorders>
              <w:top w:val="nil"/>
            </w:tcBorders>
          </w:tcPr>
          <w:p>
            <w:pPr>
              <w:rPr>
                <w:sz w:val="2"/>
                <w:szCs w:val="2"/>
              </w:rPr>
            </w:pPr>
          </w:p>
        </w:tc>
        <w:tc>
          <w:tcPr>
            <w:tcW w:w="708" w:type="dxa"/>
            <w:vMerge/>
            <w:tcBorders>
              <w:top w:val="nil"/>
            </w:tcBorders>
          </w:tcPr>
          <w:p>
            <w:pPr>
              <w:rPr>
                <w:sz w:val="2"/>
                <w:szCs w:val="2"/>
              </w:rPr>
            </w:pPr>
          </w:p>
        </w:tc>
        <w:tc>
          <w:tcPr>
            <w:tcW w:w="2552" w:type="dxa"/>
          </w:tcPr>
          <w:p>
            <w:pPr>
              <w:pStyle w:val="TableParagraph"/>
              <w:ind w:left="0" w:right="633"/>
              <w:jc w:val="right"/>
              <w:rPr>
                <w:sz w:val="18"/>
              </w:rPr>
            </w:pPr>
            <w:r>
              <w:rPr>
                <w:sz w:val="18"/>
              </w:rPr>
              <w:t>≤55（夜间）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465" w:hRule="atLeast"/>
        </w:trPr>
        <w:tc>
          <w:tcPr>
            <w:tcW w:w="999" w:type="dxa"/>
            <w:vMerge/>
            <w:tcBorders>
              <w:top w:val="nil"/>
            </w:tcBorders>
          </w:tcPr>
          <w:p>
            <w:pPr>
              <w:rPr>
                <w:sz w:val="2"/>
                <w:szCs w:val="2"/>
              </w:rPr>
            </w:pPr>
          </w:p>
        </w:tc>
        <w:tc>
          <w:tcPr>
            <w:tcW w:w="2696" w:type="dxa"/>
            <w:gridSpan w:val="2"/>
          </w:tcPr>
          <w:p>
            <w:pPr>
              <w:pStyle w:val="TableParagraph"/>
              <w:spacing w:before="115"/>
              <w:ind w:left="986"/>
              <w:rPr>
                <w:sz w:val="18"/>
              </w:rPr>
            </w:pPr>
            <w:r>
              <w:rPr>
                <w:sz w:val="18"/>
              </w:rPr>
              <w:t>废水排放 </w:t>
            </w:r>
          </w:p>
        </w:tc>
        <w:tc>
          <w:tcPr>
            <w:tcW w:w="708" w:type="dxa"/>
          </w:tcPr>
          <w:p>
            <w:pPr>
              <w:pStyle w:val="TableParagraph"/>
              <w:spacing w:before="115"/>
              <w:ind w:left="101" w:right="3"/>
              <w:jc w:val="center"/>
              <w:rPr>
                <w:sz w:val="18"/>
              </w:rPr>
            </w:pPr>
            <w:r>
              <w:rPr>
                <w:sz w:val="18"/>
              </w:rPr>
              <w:t>— </w:t>
            </w:r>
          </w:p>
        </w:tc>
        <w:tc>
          <w:tcPr>
            <w:tcW w:w="2552" w:type="dxa"/>
          </w:tcPr>
          <w:p>
            <w:pPr>
              <w:pStyle w:val="TableParagraph"/>
              <w:spacing w:before="115"/>
              <w:ind w:left="208"/>
              <w:rPr>
                <w:sz w:val="18"/>
              </w:rPr>
            </w:pPr>
            <w:r>
              <w:rPr>
                <w:sz w:val="18"/>
              </w:rPr>
              <w:t>应符合相关要求 </w:t>
            </w:r>
          </w:p>
        </w:tc>
        <w:tc>
          <w:tcPr>
            <w:tcW w:w="2269" w:type="dxa"/>
          </w:tcPr>
          <w:p>
            <w:pPr>
              <w:pStyle w:val="TableParagraph"/>
              <w:spacing w:before="0"/>
              <w:ind w:left="207"/>
              <w:rPr>
                <w:sz w:val="18"/>
              </w:rPr>
            </w:pPr>
            <w:r>
              <w:rPr>
                <w:spacing w:val="12"/>
                <w:sz w:val="18"/>
              </w:rPr>
              <w:t>按照</w:t>
            </w:r>
            <w:r>
              <w:rPr>
                <w:sz w:val="18"/>
              </w:rPr>
              <w:t>GB</w:t>
            </w:r>
            <w:r>
              <w:rPr>
                <w:spacing w:val="57"/>
                <w:sz w:val="18"/>
              </w:rPr>
              <w:t> </w:t>
            </w:r>
            <w:r>
              <w:rPr>
                <w:spacing w:val="3"/>
                <w:sz w:val="18"/>
              </w:rPr>
              <w:t>8978</w:t>
            </w:r>
            <w:r>
              <w:rPr>
                <w:spacing w:val="9"/>
                <w:sz w:val="18"/>
              </w:rPr>
              <w:t>的要求进行</w:t>
            </w:r>
          </w:p>
          <w:p>
            <w:pPr>
              <w:pStyle w:val="TableParagraph"/>
              <w:spacing w:line="213" w:lineRule="exact" w:before="2"/>
              <w:ind w:left="27"/>
              <w:rPr>
                <w:sz w:val="18"/>
              </w:rPr>
            </w:pPr>
            <w:r>
              <w:rPr>
                <w:sz w:val="18"/>
              </w:rPr>
              <w:t>检测，并提供检测报告 </w:t>
            </w:r>
          </w:p>
        </w:tc>
        <w:tc>
          <w:tcPr>
            <w:tcW w:w="999" w:type="dxa"/>
            <w:vMerge/>
            <w:tcBorders>
              <w:top w:val="nil"/>
            </w:tcBorders>
          </w:tcPr>
          <w:p>
            <w:pPr>
              <w:rPr>
                <w:sz w:val="2"/>
                <w:szCs w:val="2"/>
              </w:rPr>
            </w:pPr>
          </w:p>
        </w:tc>
      </w:tr>
      <w:tr>
        <w:trPr>
          <w:trHeight w:val="1634" w:hRule="atLeast"/>
        </w:trPr>
        <w:tc>
          <w:tcPr>
            <w:tcW w:w="999" w:type="dxa"/>
            <w:vMerge/>
            <w:tcBorders>
              <w:top w:val="nil"/>
            </w:tcBorders>
          </w:tcPr>
          <w:p>
            <w:pPr>
              <w:rPr>
                <w:sz w:val="2"/>
                <w:szCs w:val="2"/>
              </w:rPr>
            </w:pPr>
          </w:p>
        </w:tc>
        <w:tc>
          <w:tcPr>
            <w:tcW w:w="2696" w:type="dxa"/>
            <w:gridSpan w:val="2"/>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8"/>
              <w:ind w:left="0"/>
              <w:rPr>
                <w:rFonts w:ascii="黑体"/>
                <w:sz w:val="18"/>
              </w:rPr>
            </w:pPr>
          </w:p>
          <w:p>
            <w:pPr>
              <w:pStyle w:val="TableParagraph"/>
              <w:spacing w:before="0"/>
              <w:ind w:left="806"/>
              <w:rPr>
                <w:sz w:val="18"/>
              </w:rPr>
            </w:pPr>
            <w:r>
              <w:rPr>
                <w:sz w:val="18"/>
              </w:rPr>
              <w:t>产品报废处理 </w:t>
            </w:r>
          </w:p>
        </w:tc>
        <w:tc>
          <w:tcPr>
            <w:tcW w:w="708" w:type="dxa"/>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8"/>
              <w:ind w:left="0"/>
              <w:rPr>
                <w:rFonts w:ascii="黑体"/>
                <w:sz w:val="18"/>
              </w:rPr>
            </w:pPr>
          </w:p>
          <w:p>
            <w:pPr>
              <w:pStyle w:val="TableParagraph"/>
              <w:spacing w:before="0"/>
              <w:ind w:left="101" w:right="3"/>
              <w:jc w:val="center"/>
              <w:rPr>
                <w:sz w:val="18"/>
              </w:rPr>
            </w:pPr>
            <w:r>
              <w:rPr>
                <w:sz w:val="18"/>
              </w:rPr>
              <w:t>— </w:t>
            </w:r>
          </w:p>
        </w:tc>
        <w:tc>
          <w:tcPr>
            <w:tcW w:w="2552" w:type="dxa"/>
          </w:tcPr>
          <w:p>
            <w:pPr>
              <w:pStyle w:val="TableParagraph"/>
              <w:spacing w:line="242" w:lineRule="auto" w:before="0"/>
              <w:ind w:firstLine="180"/>
              <w:jc w:val="both"/>
              <w:rPr>
                <w:sz w:val="18"/>
              </w:rPr>
            </w:pPr>
            <w:r>
              <w:rPr>
                <w:sz w:val="18"/>
              </w:rPr>
              <w:t>应编制产品报废时的处理方案，方案内容应至少包含：设备拆解技术指导信息、含有毒有害物质或有危险零部件的处理、可使用、再制造、再利用</w:t>
            </w:r>
          </w:p>
          <w:p>
            <w:pPr>
              <w:pStyle w:val="TableParagraph"/>
              <w:spacing w:line="230" w:lineRule="atLeast" w:before="4"/>
              <w:ind w:right="17"/>
              <w:rPr>
                <w:sz w:val="18"/>
              </w:rPr>
            </w:pPr>
            <w:r>
              <w:rPr>
                <w:sz w:val="18"/>
              </w:rPr>
              <w:t>零部件的处理、其它废弃物的无害化处理等内容 </w:t>
            </w:r>
          </w:p>
        </w:tc>
        <w:tc>
          <w:tcPr>
            <w:tcW w:w="2269" w:type="dxa"/>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line="242" w:lineRule="auto" w:before="124"/>
              <w:ind w:left="27" w:right="14" w:firstLine="180"/>
              <w:rPr>
                <w:sz w:val="18"/>
              </w:rPr>
            </w:pPr>
            <w:r>
              <w:rPr>
                <w:sz w:val="18"/>
              </w:rPr>
              <w:t>提供产品报废时的处理方案 </w:t>
            </w:r>
          </w:p>
        </w:tc>
        <w:tc>
          <w:tcPr>
            <w:tcW w:w="999" w:type="dxa"/>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line="242" w:lineRule="auto" w:before="124"/>
              <w:ind w:left="406" w:right="40" w:hanging="360"/>
              <w:rPr>
                <w:sz w:val="18"/>
              </w:rPr>
            </w:pPr>
            <w:r>
              <w:rPr>
                <w:sz w:val="18"/>
              </w:rPr>
              <w:t>产品回收处理 </w:t>
            </w:r>
          </w:p>
        </w:tc>
      </w:tr>
      <w:tr>
        <w:trPr>
          <w:trHeight w:val="341" w:hRule="atLeast"/>
        </w:trPr>
        <w:tc>
          <w:tcPr>
            <w:tcW w:w="99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2"/>
              <w:ind w:left="0"/>
              <w:rPr>
                <w:rFonts w:ascii="黑体"/>
                <w:sz w:val="25"/>
              </w:rPr>
            </w:pPr>
          </w:p>
          <w:p>
            <w:pPr>
              <w:pStyle w:val="TableParagraph"/>
              <w:spacing w:before="0"/>
              <w:ind w:left="139"/>
              <w:rPr>
                <w:sz w:val="18"/>
              </w:rPr>
            </w:pPr>
            <w:r>
              <w:rPr>
                <w:sz w:val="18"/>
              </w:rPr>
              <w:t>产品属性 </w:t>
            </w:r>
          </w:p>
        </w:tc>
        <w:tc>
          <w:tcPr>
            <w:tcW w:w="852"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2"/>
              <w:ind w:left="0"/>
              <w:rPr>
                <w:rFonts w:ascii="黑体"/>
                <w:sz w:val="16"/>
              </w:rPr>
            </w:pPr>
          </w:p>
          <w:p>
            <w:pPr>
              <w:pStyle w:val="TableParagraph"/>
              <w:spacing w:line="242" w:lineRule="auto" w:before="0"/>
              <w:ind w:left="244" w:right="55" w:hanging="180"/>
              <w:rPr>
                <w:sz w:val="18"/>
              </w:rPr>
            </w:pPr>
            <w:r>
              <w:rPr>
                <w:sz w:val="18"/>
              </w:rPr>
              <w:t>碳化污泥属性 </w:t>
            </w:r>
          </w:p>
        </w:tc>
        <w:tc>
          <w:tcPr>
            <w:tcW w:w="1844" w:type="dxa"/>
          </w:tcPr>
          <w:p>
            <w:pPr>
              <w:pStyle w:val="TableParagraph"/>
              <w:spacing w:before="55"/>
              <w:ind w:left="406" w:right="306"/>
              <w:jc w:val="center"/>
              <w:rPr>
                <w:sz w:val="18"/>
              </w:rPr>
            </w:pPr>
            <w:r>
              <w:rPr>
                <w:sz w:val="18"/>
              </w:rPr>
              <w:t>含水率 </w:t>
            </w:r>
          </w:p>
        </w:tc>
        <w:tc>
          <w:tcPr>
            <w:tcW w:w="708" w:type="dxa"/>
          </w:tcPr>
          <w:p>
            <w:pPr>
              <w:pStyle w:val="TableParagraph"/>
              <w:spacing w:before="67"/>
              <w:ind w:left="12"/>
              <w:jc w:val="center"/>
              <w:rPr>
                <w:rFonts w:ascii="Times New Roman"/>
                <w:sz w:val="18"/>
              </w:rPr>
            </w:pPr>
            <w:r>
              <w:rPr>
                <w:rFonts w:ascii="Times New Roman"/>
                <w:w w:val="99"/>
                <w:sz w:val="18"/>
              </w:rPr>
              <w:t>%</w:t>
            </w:r>
          </w:p>
        </w:tc>
        <w:tc>
          <w:tcPr>
            <w:tcW w:w="2552" w:type="dxa"/>
          </w:tcPr>
          <w:p>
            <w:pPr>
              <w:pStyle w:val="TableParagraph"/>
              <w:spacing w:before="55"/>
              <w:ind w:left="399" w:right="299"/>
              <w:jc w:val="center"/>
              <w:rPr>
                <w:sz w:val="18"/>
              </w:rPr>
            </w:pPr>
            <w:r>
              <w:rPr>
                <w:sz w:val="18"/>
              </w:rPr>
              <w:t>≤10 </w:t>
            </w:r>
          </w:p>
        </w:tc>
        <w:tc>
          <w:tcPr>
            <w:tcW w:w="226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10"/>
              <w:ind w:left="0"/>
              <w:rPr>
                <w:rFonts w:ascii="黑体"/>
                <w:sz w:val="24"/>
              </w:rPr>
            </w:pPr>
          </w:p>
          <w:p>
            <w:pPr>
              <w:pStyle w:val="TableParagraph"/>
              <w:spacing w:line="242" w:lineRule="auto" w:before="0"/>
              <w:ind w:left="27" w:right="-15" w:firstLine="180"/>
              <w:jc w:val="both"/>
              <w:rPr>
                <w:sz w:val="18"/>
              </w:rPr>
            </w:pPr>
            <w:r>
              <w:rPr>
                <w:spacing w:val="19"/>
                <w:sz w:val="18"/>
              </w:rPr>
              <w:t>按照 </w:t>
            </w:r>
            <w:r>
              <w:rPr>
                <w:sz w:val="18"/>
              </w:rPr>
              <w:t>CJ/T 221</w:t>
            </w:r>
            <w:r>
              <w:rPr>
                <w:spacing w:val="-11"/>
                <w:sz w:val="18"/>
              </w:rPr>
              <w:t> 、 </w:t>
            </w:r>
            <w:r>
              <w:rPr>
                <w:sz w:val="18"/>
              </w:rPr>
              <w:t>GB/T 24600</w:t>
            </w:r>
            <w:r>
              <w:rPr>
                <w:spacing w:val="-29"/>
                <w:sz w:val="18"/>
              </w:rPr>
              <w:t> 、</w:t>
            </w:r>
            <w:r>
              <w:rPr>
                <w:sz w:val="18"/>
              </w:rPr>
              <w:t>GB/T</w:t>
            </w:r>
            <w:r>
              <w:rPr>
                <w:spacing w:val="54"/>
                <w:sz w:val="18"/>
              </w:rPr>
              <w:t> </w:t>
            </w:r>
            <w:r>
              <w:rPr>
                <w:sz w:val="18"/>
              </w:rPr>
              <w:t>25031</w:t>
            </w:r>
            <w:r>
              <w:rPr>
                <w:spacing w:val="-7"/>
                <w:sz w:val="18"/>
              </w:rPr>
              <w:t> 的要求</w:t>
            </w:r>
            <w:r>
              <w:rPr>
                <w:spacing w:val="4"/>
                <w:sz w:val="18"/>
              </w:rPr>
              <w:t>进行检测，总碳可按照</w:t>
            </w:r>
            <w:r>
              <w:rPr>
                <w:sz w:val="18"/>
              </w:rPr>
              <w:t>CJ/T </w:t>
            </w:r>
            <w:r>
              <w:rPr>
                <w:spacing w:val="3"/>
                <w:sz w:val="18"/>
              </w:rPr>
              <w:t>96</w:t>
            </w:r>
            <w:r>
              <w:rPr>
                <w:spacing w:val="4"/>
                <w:sz w:val="18"/>
              </w:rPr>
              <w:t>的方法进行检测，并提供</w:t>
            </w:r>
            <w:r>
              <w:rPr>
                <w:sz w:val="18"/>
              </w:rPr>
              <w:t>检测报告 </w:t>
            </w:r>
          </w:p>
        </w:tc>
        <w:tc>
          <w:tcPr>
            <w:tcW w:w="999" w:type="dxa"/>
            <w:vMerge w:val="restart"/>
          </w:tcPr>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0"/>
              <w:ind w:left="0"/>
              <w:rPr>
                <w:rFonts w:ascii="黑体"/>
                <w:sz w:val="18"/>
              </w:rPr>
            </w:pPr>
          </w:p>
          <w:p>
            <w:pPr>
              <w:pStyle w:val="TableParagraph"/>
              <w:spacing w:before="2"/>
              <w:ind w:left="0"/>
              <w:rPr>
                <w:rFonts w:ascii="黑体"/>
                <w:sz w:val="25"/>
              </w:rPr>
            </w:pPr>
          </w:p>
          <w:p>
            <w:pPr>
              <w:pStyle w:val="TableParagraph"/>
              <w:spacing w:before="0"/>
              <w:ind w:left="137"/>
              <w:rPr>
                <w:sz w:val="18"/>
              </w:rPr>
            </w:pPr>
            <w:r>
              <w:rPr>
                <w:sz w:val="18"/>
              </w:rPr>
              <w:t>产品使用 </w:t>
            </w:r>
          </w:p>
        </w:tc>
      </w:tr>
      <w:tr>
        <w:trPr>
          <w:trHeight w:val="70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spacing w:line="244" w:lineRule="auto" w:before="0"/>
              <w:ind w:left="201" w:right="187" w:hanging="2"/>
              <w:jc w:val="center"/>
              <w:rPr>
                <w:sz w:val="9"/>
              </w:rPr>
            </w:pPr>
            <w:r>
              <w:rPr>
                <w:sz w:val="18"/>
              </w:rPr>
              <w:t>总养分[总氮（以N </w:t>
            </w:r>
            <w:r>
              <w:rPr>
                <w:position w:val="1"/>
                <w:sz w:val="18"/>
              </w:rPr>
              <w:t>计）+总磷（以P</w:t>
            </w:r>
            <w:r>
              <w:rPr>
                <w:sz w:val="9"/>
              </w:rPr>
              <w:t>2</w:t>
            </w:r>
            <w:r>
              <w:rPr>
                <w:position w:val="1"/>
                <w:sz w:val="18"/>
              </w:rPr>
              <w:t>O</w:t>
            </w:r>
            <w:r>
              <w:rPr>
                <w:sz w:val="9"/>
              </w:rPr>
              <w:t>5</w:t>
            </w:r>
          </w:p>
          <w:p>
            <w:pPr>
              <w:pStyle w:val="TableParagraph"/>
              <w:spacing w:line="210" w:lineRule="exact" w:before="0"/>
              <w:ind w:left="66" w:right="-44"/>
              <w:jc w:val="center"/>
              <w:rPr>
                <w:sz w:val="18"/>
              </w:rPr>
            </w:pPr>
            <w:r>
              <w:rPr>
                <w:sz w:val="18"/>
              </w:rPr>
              <w:t>计）+总钾（以K计）] </w:t>
            </w:r>
          </w:p>
        </w:tc>
        <w:tc>
          <w:tcPr>
            <w:tcW w:w="708" w:type="dxa"/>
          </w:tcPr>
          <w:p>
            <w:pPr>
              <w:pStyle w:val="TableParagraph"/>
              <w:spacing w:before="3"/>
              <w:ind w:left="0"/>
              <w:rPr>
                <w:rFonts w:ascii="黑体"/>
                <w:sz w:val="19"/>
              </w:rPr>
            </w:pPr>
          </w:p>
          <w:p>
            <w:pPr>
              <w:pStyle w:val="TableParagraph"/>
              <w:spacing w:before="0"/>
              <w:ind w:left="12"/>
              <w:jc w:val="center"/>
              <w:rPr>
                <w:rFonts w:ascii="Times New Roman"/>
                <w:sz w:val="18"/>
              </w:rPr>
            </w:pPr>
            <w:r>
              <w:rPr>
                <w:rFonts w:ascii="Times New Roman"/>
                <w:w w:val="99"/>
                <w:sz w:val="18"/>
              </w:rPr>
              <w:t>%</w:t>
            </w:r>
          </w:p>
        </w:tc>
        <w:tc>
          <w:tcPr>
            <w:tcW w:w="2552" w:type="dxa"/>
          </w:tcPr>
          <w:p>
            <w:pPr>
              <w:pStyle w:val="TableParagraph"/>
              <w:spacing w:before="4"/>
              <w:ind w:left="0"/>
              <w:rPr>
                <w:rFonts w:ascii="黑体"/>
                <w:sz w:val="18"/>
              </w:rPr>
            </w:pPr>
          </w:p>
          <w:p>
            <w:pPr>
              <w:pStyle w:val="TableParagraph"/>
              <w:spacing w:before="0"/>
              <w:ind w:left="399" w:right="301"/>
              <w:jc w:val="center"/>
              <w:rPr>
                <w:sz w:val="18"/>
              </w:rPr>
            </w:pPr>
            <w:r>
              <w:rPr>
                <w:sz w:val="18"/>
              </w:rPr>
              <w:t>≥1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ind w:left="406" w:right="306"/>
              <w:jc w:val="center"/>
              <w:rPr>
                <w:sz w:val="18"/>
              </w:rPr>
            </w:pPr>
            <w:r>
              <w:rPr>
                <w:sz w:val="18"/>
              </w:rPr>
              <w:t>有机物含量 </w:t>
            </w:r>
          </w:p>
        </w:tc>
        <w:tc>
          <w:tcPr>
            <w:tcW w:w="708" w:type="dxa"/>
          </w:tcPr>
          <w:p>
            <w:pPr>
              <w:pStyle w:val="TableParagraph"/>
              <w:spacing w:before="67"/>
              <w:ind w:left="12"/>
              <w:jc w:val="center"/>
              <w:rPr>
                <w:rFonts w:ascii="Times New Roman"/>
                <w:sz w:val="18"/>
              </w:rPr>
            </w:pPr>
            <w:r>
              <w:rPr>
                <w:rFonts w:ascii="Times New Roman"/>
                <w:w w:val="99"/>
                <w:sz w:val="18"/>
              </w:rPr>
              <w:t>%</w:t>
            </w:r>
          </w:p>
        </w:tc>
        <w:tc>
          <w:tcPr>
            <w:tcW w:w="2552" w:type="dxa"/>
          </w:tcPr>
          <w:p>
            <w:pPr>
              <w:pStyle w:val="TableParagraph"/>
              <w:ind w:left="399" w:right="299"/>
              <w:jc w:val="center"/>
              <w:rPr>
                <w:sz w:val="18"/>
              </w:rPr>
            </w:pPr>
            <w:r>
              <w:rPr>
                <w:sz w:val="18"/>
              </w:rPr>
              <w:t>≥10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ind w:left="406" w:right="308"/>
              <w:jc w:val="center"/>
              <w:rPr>
                <w:sz w:val="18"/>
              </w:rPr>
            </w:pPr>
            <w:r>
              <w:rPr>
                <w:sz w:val="18"/>
              </w:rPr>
              <w:t>总碳 </w:t>
            </w:r>
          </w:p>
        </w:tc>
        <w:tc>
          <w:tcPr>
            <w:tcW w:w="708" w:type="dxa"/>
          </w:tcPr>
          <w:p>
            <w:pPr>
              <w:pStyle w:val="TableParagraph"/>
              <w:spacing w:before="67"/>
              <w:ind w:left="12"/>
              <w:jc w:val="center"/>
              <w:rPr>
                <w:rFonts w:ascii="Times New Roman"/>
                <w:sz w:val="18"/>
              </w:rPr>
            </w:pPr>
            <w:r>
              <w:rPr>
                <w:rFonts w:ascii="Times New Roman"/>
                <w:w w:val="99"/>
                <w:sz w:val="18"/>
              </w:rPr>
              <w:t>%</w:t>
            </w:r>
          </w:p>
        </w:tc>
        <w:tc>
          <w:tcPr>
            <w:tcW w:w="2552" w:type="dxa"/>
          </w:tcPr>
          <w:p>
            <w:pPr>
              <w:pStyle w:val="TableParagraph"/>
              <w:ind w:left="399" w:right="299"/>
              <w:jc w:val="center"/>
              <w:rPr>
                <w:sz w:val="18"/>
              </w:rPr>
            </w:pPr>
            <w:r>
              <w:rPr>
                <w:sz w:val="18"/>
              </w:rPr>
              <w:t>≥25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ind w:left="406" w:right="306"/>
              <w:jc w:val="center"/>
              <w:rPr>
                <w:sz w:val="18"/>
              </w:rPr>
            </w:pPr>
            <w:r>
              <w:rPr>
                <w:sz w:val="18"/>
              </w:rPr>
              <w:t>矿物油 </w:t>
            </w:r>
          </w:p>
        </w:tc>
        <w:tc>
          <w:tcPr>
            <w:tcW w:w="708" w:type="dxa"/>
          </w:tcPr>
          <w:p>
            <w:pPr>
              <w:pStyle w:val="TableParagraph"/>
              <w:ind w:left="104" w:right="3"/>
              <w:jc w:val="center"/>
              <w:rPr>
                <w:sz w:val="18"/>
              </w:rPr>
            </w:pPr>
            <w:r>
              <w:rPr>
                <w:sz w:val="18"/>
              </w:rPr>
              <w:t>mg/kg </w:t>
            </w:r>
          </w:p>
        </w:tc>
        <w:tc>
          <w:tcPr>
            <w:tcW w:w="2552" w:type="dxa"/>
          </w:tcPr>
          <w:p>
            <w:pPr>
              <w:pStyle w:val="TableParagraph"/>
              <w:ind w:left="399" w:right="299"/>
              <w:jc w:val="center"/>
              <w:rPr>
                <w:sz w:val="18"/>
              </w:rPr>
            </w:pPr>
            <w:r>
              <w:rPr>
                <w:rFonts w:ascii="Times New Roman" w:hAnsi="Times New Roman"/>
                <w:sz w:val="18"/>
              </w:rPr>
              <w:t>˂</w:t>
            </w:r>
            <w:r>
              <w:rPr>
                <w:sz w:val="18"/>
              </w:rPr>
              <w:t>3000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465"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spacing w:before="0"/>
              <w:ind w:left="201"/>
              <w:rPr>
                <w:sz w:val="18"/>
              </w:rPr>
            </w:pPr>
            <w:r>
              <w:rPr>
                <w:sz w:val="18"/>
              </w:rPr>
              <w:t>可吸附有机卤化物</w:t>
            </w:r>
          </w:p>
          <w:p>
            <w:pPr>
              <w:pStyle w:val="TableParagraph"/>
              <w:spacing w:line="213" w:lineRule="exact" w:before="2"/>
              <w:ind w:left="112"/>
              <w:rPr>
                <w:sz w:val="18"/>
              </w:rPr>
            </w:pPr>
            <w:r>
              <w:rPr>
                <w:sz w:val="18"/>
              </w:rPr>
              <w:t>（AOX）（</w:t>
            </w:r>
            <w:r>
              <w:rPr>
                <w:spacing w:val="-24"/>
                <w:sz w:val="18"/>
              </w:rPr>
              <w:t>以 </w:t>
            </w:r>
            <w:r>
              <w:rPr>
                <w:sz w:val="18"/>
              </w:rPr>
              <w:t>Cl</w:t>
            </w:r>
            <w:r>
              <w:rPr>
                <w:spacing w:val="-23"/>
                <w:sz w:val="18"/>
              </w:rPr>
              <w:t> 计</w:t>
            </w:r>
            <w:r>
              <w:rPr>
                <w:sz w:val="18"/>
              </w:rPr>
              <w:t>） </w:t>
            </w:r>
          </w:p>
        </w:tc>
        <w:tc>
          <w:tcPr>
            <w:tcW w:w="708" w:type="dxa"/>
          </w:tcPr>
          <w:p>
            <w:pPr>
              <w:pStyle w:val="TableParagraph"/>
              <w:spacing w:before="115"/>
              <w:ind w:left="104" w:right="3"/>
              <w:jc w:val="center"/>
              <w:rPr>
                <w:sz w:val="18"/>
              </w:rPr>
            </w:pPr>
            <w:r>
              <w:rPr>
                <w:sz w:val="18"/>
              </w:rPr>
              <w:t>mg/kg </w:t>
            </w:r>
          </w:p>
        </w:tc>
        <w:tc>
          <w:tcPr>
            <w:tcW w:w="2552" w:type="dxa"/>
          </w:tcPr>
          <w:p>
            <w:pPr>
              <w:pStyle w:val="TableParagraph"/>
              <w:spacing w:before="115"/>
              <w:ind w:left="399" w:right="301"/>
              <w:jc w:val="center"/>
              <w:rPr>
                <w:sz w:val="18"/>
              </w:rPr>
            </w:pPr>
            <w:r>
              <w:rPr>
                <w:rFonts w:ascii="Times New Roman" w:hAnsi="Times New Roman"/>
                <w:sz w:val="18"/>
              </w:rPr>
              <w:t>˂</w:t>
            </w:r>
            <w:r>
              <w:rPr>
                <w:sz w:val="18"/>
              </w:rPr>
              <w:t>500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spacing w:before="55"/>
              <w:ind w:left="406" w:right="308"/>
              <w:jc w:val="center"/>
              <w:rPr>
                <w:sz w:val="18"/>
              </w:rPr>
            </w:pPr>
            <w:r>
              <w:rPr>
                <w:sz w:val="18"/>
              </w:rPr>
              <w:t>多氯联苯 </w:t>
            </w:r>
          </w:p>
        </w:tc>
        <w:tc>
          <w:tcPr>
            <w:tcW w:w="708" w:type="dxa"/>
          </w:tcPr>
          <w:p>
            <w:pPr>
              <w:pStyle w:val="TableParagraph"/>
              <w:spacing w:before="55"/>
              <w:ind w:left="104" w:right="3"/>
              <w:jc w:val="center"/>
              <w:rPr>
                <w:sz w:val="18"/>
              </w:rPr>
            </w:pPr>
            <w:r>
              <w:rPr>
                <w:sz w:val="18"/>
              </w:rPr>
              <w:t>mg/kg </w:t>
            </w:r>
          </w:p>
        </w:tc>
        <w:tc>
          <w:tcPr>
            <w:tcW w:w="2552" w:type="dxa"/>
          </w:tcPr>
          <w:p>
            <w:pPr>
              <w:pStyle w:val="TableParagraph"/>
              <w:spacing w:before="55"/>
              <w:ind w:left="399" w:right="301"/>
              <w:jc w:val="center"/>
              <w:rPr>
                <w:sz w:val="18"/>
              </w:rPr>
            </w:pPr>
            <w:r>
              <w:rPr>
                <w:rFonts w:ascii="Times New Roman" w:hAnsi="Times New Roman"/>
                <w:sz w:val="18"/>
              </w:rPr>
              <w:t>˂</w:t>
            </w:r>
            <w:r>
              <w:rPr>
                <w:sz w:val="18"/>
              </w:rPr>
              <w:t>0.2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spacing w:before="55"/>
              <w:ind w:left="406" w:right="306"/>
              <w:jc w:val="center"/>
              <w:rPr>
                <w:sz w:val="18"/>
              </w:rPr>
            </w:pPr>
            <w:r>
              <w:rPr>
                <w:sz w:val="18"/>
              </w:rPr>
              <w:t>挥发酚 </w:t>
            </w:r>
          </w:p>
        </w:tc>
        <w:tc>
          <w:tcPr>
            <w:tcW w:w="708" w:type="dxa"/>
          </w:tcPr>
          <w:p>
            <w:pPr>
              <w:pStyle w:val="TableParagraph"/>
              <w:spacing w:before="55"/>
              <w:ind w:left="104" w:right="3"/>
              <w:jc w:val="center"/>
              <w:rPr>
                <w:sz w:val="18"/>
              </w:rPr>
            </w:pPr>
            <w:r>
              <w:rPr>
                <w:sz w:val="18"/>
              </w:rPr>
              <w:t>mg/kg </w:t>
            </w:r>
          </w:p>
        </w:tc>
        <w:tc>
          <w:tcPr>
            <w:tcW w:w="2552" w:type="dxa"/>
          </w:tcPr>
          <w:p>
            <w:pPr>
              <w:pStyle w:val="TableParagraph"/>
              <w:spacing w:before="55"/>
              <w:ind w:left="399" w:right="301"/>
              <w:jc w:val="center"/>
              <w:rPr>
                <w:sz w:val="18"/>
              </w:rPr>
            </w:pPr>
            <w:r>
              <w:rPr>
                <w:rFonts w:ascii="Times New Roman" w:hAnsi="Times New Roman"/>
                <w:sz w:val="18"/>
              </w:rPr>
              <w:t>˂</w:t>
            </w:r>
            <w:r>
              <w:rPr>
                <w:sz w:val="18"/>
              </w:rPr>
              <w:t>40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ind w:left="406" w:right="308"/>
              <w:jc w:val="center"/>
              <w:rPr>
                <w:sz w:val="18"/>
              </w:rPr>
            </w:pPr>
            <w:r>
              <w:rPr>
                <w:sz w:val="18"/>
              </w:rPr>
              <w:t>总氰化物 </w:t>
            </w:r>
          </w:p>
        </w:tc>
        <w:tc>
          <w:tcPr>
            <w:tcW w:w="708" w:type="dxa"/>
          </w:tcPr>
          <w:p>
            <w:pPr>
              <w:pStyle w:val="TableParagraph"/>
              <w:ind w:left="104" w:right="3"/>
              <w:jc w:val="center"/>
              <w:rPr>
                <w:sz w:val="18"/>
              </w:rPr>
            </w:pPr>
            <w:r>
              <w:rPr>
                <w:sz w:val="18"/>
              </w:rPr>
              <w:t>mg/kg </w:t>
            </w:r>
          </w:p>
        </w:tc>
        <w:tc>
          <w:tcPr>
            <w:tcW w:w="2552" w:type="dxa"/>
          </w:tcPr>
          <w:p>
            <w:pPr>
              <w:pStyle w:val="TableParagraph"/>
              <w:ind w:left="399" w:right="301"/>
              <w:jc w:val="center"/>
              <w:rPr>
                <w:sz w:val="18"/>
              </w:rPr>
            </w:pPr>
            <w:r>
              <w:rPr>
                <w:rFonts w:ascii="Times New Roman" w:hAnsi="Times New Roman"/>
                <w:sz w:val="18"/>
              </w:rPr>
              <w:t>˂</w:t>
            </w:r>
            <w:r>
              <w:rPr>
                <w:sz w:val="18"/>
              </w:rPr>
              <w:t>10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ind w:left="406" w:right="308"/>
              <w:jc w:val="center"/>
              <w:rPr>
                <w:sz w:val="18"/>
              </w:rPr>
            </w:pPr>
            <w:r>
              <w:rPr>
                <w:sz w:val="18"/>
              </w:rPr>
              <w:t>粪大肠菌群值 </w:t>
            </w:r>
          </w:p>
        </w:tc>
        <w:tc>
          <w:tcPr>
            <w:tcW w:w="708" w:type="dxa"/>
          </w:tcPr>
          <w:p>
            <w:pPr>
              <w:pStyle w:val="TableParagraph"/>
              <w:ind w:left="101" w:right="3"/>
              <w:jc w:val="center"/>
              <w:rPr>
                <w:sz w:val="18"/>
              </w:rPr>
            </w:pPr>
            <w:r>
              <w:rPr>
                <w:sz w:val="18"/>
              </w:rPr>
              <w:t>— </w:t>
            </w:r>
          </w:p>
        </w:tc>
        <w:tc>
          <w:tcPr>
            <w:tcW w:w="2552" w:type="dxa"/>
          </w:tcPr>
          <w:p>
            <w:pPr>
              <w:pStyle w:val="TableParagraph"/>
              <w:ind w:left="399" w:right="301"/>
              <w:jc w:val="center"/>
              <w:rPr>
                <w:sz w:val="18"/>
              </w:rPr>
            </w:pPr>
            <w:r>
              <w:rPr>
                <w:sz w:val="18"/>
              </w:rPr>
              <w:t>＞0.01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37"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ind w:left="406" w:right="308"/>
              <w:jc w:val="center"/>
              <w:rPr>
                <w:sz w:val="18"/>
              </w:rPr>
            </w:pPr>
            <w:r>
              <w:rPr>
                <w:sz w:val="18"/>
              </w:rPr>
              <w:t>细菌总数 </w:t>
            </w:r>
          </w:p>
        </w:tc>
        <w:tc>
          <w:tcPr>
            <w:tcW w:w="708" w:type="dxa"/>
          </w:tcPr>
          <w:p>
            <w:pPr>
              <w:pStyle w:val="TableParagraph"/>
              <w:ind w:left="115" w:right="3"/>
              <w:jc w:val="center"/>
              <w:rPr>
                <w:sz w:val="18"/>
              </w:rPr>
            </w:pPr>
            <w:r>
              <w:rPr>
                <w:sz w:val="18"/>
              </w:rPr>
              <w:t>MPN/kg </w:t>
            </w:r>
          </w:p>
        </w:tc>
        <w:tc>
          <w:tcPr>
            <w:tcW w:w="2552" w:type="dxa"/>
          </w:tcPr>
          <w:p>
            <w:pPr>
              <w:pStyle w:val="TableParagraph"/>
              <w:ind w:left="399" w:right="299"/>
              <w:jc w:val="center"/>
              <w:rPr>
                <w:sz w:val="18"/>
              </w:rPr>
            </w:pPr>
            <w:r>
              <w:rPr>
                <w:rFonts w:ascii="Times New Roman" w:hAnsi="Times New Roman"/>
                <w:sz w:val="18"/>
              </w:rPr>
              <w:t>˂</w:t>
            </w:r>
            <w:r>
              <w:rPr>
                <w:sz w:val="18"/>
              </w:rPr>
              <w:t>10</w:t>
            </w:r>
            <w:r>
              <w:rPr>
                <w:position w:val="9"/>
                <w:sz w:val="9"/>
              </w:rPr>
              <w:t>8</w:t>
            </w:r>
            <w:r>
              <w:rPr>
                <w:sz w:val="18"/>
              </w:rPr>
              <w:t>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spacing w:before="55"/>
              <w:ind w:left="406" w:right="308"/>
              <w:jc w:val="center"/>
              <w:rPr>
                <w:sz w:val="18"/>
              </w:rPr>
            </w:pPr>
            <w:r>
              <w:rPr>
                <w:sz w:val="18"/>
              </w:rPr>
              <w:t>蠕虫卵死亡率 </w:t>
            </w:r>
          </w:p>
        </w:tc>
        <w:tc>
          <w:tcPr>
            <w:tcW w:w="708" w:type="dxa"/>
          </w:tcPr>
          <w:p>
            <w:pPr>
              <w:pStyle w:val="TableParagraph"/>
              <w:spacing w:before="67"/>
              <w:ind w:left="12"/>
              <w:jc w:val="center"/>
              <w:rPr>
                <w:rFonts w:ascii="Times New Roman"/>
                <w:sz w:val="18"/>
              </w:rPr>
            </w:pPr>
            <w:r>
              <w:rPr>
                <w:rFonts w:ascii="Times New Roman"/>
                <w:w w:val="99"/>
                <w:sz w:val="18"/>
              </w:rPr>
              <w:t>%</w:t>
            </w:r>
          </w:p>
        </w:tc>
        <w:tc>
          <w:tcPr>
            <w:tcW w:w="2552" w:type="dxa"/>
          </w:tcPr>
          <w:p>
            <w:pPr>
              <w:pStyle w:val="TableParagraph"/>
              <w:spacing w:before="55"/>
              <w:ind w:left="399" w:right="299"/>
              <w:jc w:val="center"/>
              <w:rPr>
                <w:sz w:val="18"/>
              </w:rPr>
            </w:pPr>
            <w:r>
              <w:rPr>
                <w:sz w:val="18"/>
              </w:rPr>
              <w:t>≥95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r>
        <w:trPr>
          <w:trHeight w:val="340" w:hRule="atLeast"/>
        </w:trPr>
        <w:tc>
          <w:tcPr>
            <w:tcW w:w="999" w:type="dxa"/>
            <w:vMerge/>
            <w:tcBorders>
              <w:top w:val="nil"/>
            </w:tcBorders>
          </w:tcPr>
          <w:p>
            <w:pPr>
              <w:rPr>
                <w:sz w:val="2"/>
                <w:szCs w:val="2"/>
              </w:rPr>
            </w:pPr>
          </w:p>
        </w:tc>
        <w:tc>
          <w:tcPr>
            <w:tcW w:w="852" w:type="dxa"/>
            <w:vMerge/>
            <w:tcBorders>
              <w:top w:val="nil"/>
            </w:tcBorders>
          </w:tcPr>
          <w:p>
            <w:pPr>
              <w:rPr>
                <w:sz w:val="2"/>
                <w:szCs w:val="2"/>
              </w:rPr>
            </w:pPr>
          </w:p>
        </w:tc>
        <w:tc>
          <w:tcPr>
            <w:tcW w:w="1844" w:type="dxa"/>
          </w:tcPr>
          <w:p>
            <w:pPr>
              <w:pStyle w:val="TableParagraph"/>
              <w:spacing w:before="55"/>
              <w:ind w:left="406" w:right="308"/>
              <w:jc w:val="center"/>
              <w:rPr>
                <w:sz w:val="18"/>
              </w:rPr>
            </w:pPr>
            <w:r>
              <w:rPr>
                <w:sz w:val="18"/>
              </w:rPr>
              <w:t>蛔虫卵死亡率 </w:t>
            </w:r>
          </w:p>
        </w:tc>
        <w:tc>
          <w:tcPr>
            <w:tcW w:w="708" w:type="dxa"/>
          </w:tcPr>
          <w:p>
            <w:pPr>
              <w:pStyle w:val="TableParagraph"/>
              <w:spacing w:before="67"/>
              <w:ind w:left="12"/>
              <w:jc w:val="center"/>
              <w:rPr>
                <w:rFonts w:ascii="Times New Roman"/>
                <w:sz w:val="18"/>
              </w:rPr>
            </w:pPr>
            <w:r>
              <w:rPr>
                <w:rFonts w:ascii="Times New Roman"/>
                <w:w w:val="99"/>
                <w:sz w:val="18"/>
              </w:rPr>
              <w:t>%</w:t>
            </w:r>
          </w:p>
        </w:tc>
        <w:tc>
          <w:tcPr>
            <w:tcW w:w="2552" w:type="dxa"/>
          </w:tcPr>
          <w:p>
            <w:pPr>
              <w:pStyle w:val="TableParagraph"/>
              <w:spacing w:before="55"/>
              <w:ind w:left="399" w:right="299"/>
              <w:jc w:val="center"/>
              <w:rPr>
                <w:sz w:val="18"/>
              </w:rPr>
            </w:pPr>
            <w:r>
              <w:rPr>
                <w:sz w:val="18"/>
              </w:rPr>
              <w:t>＞95 </w:t>
            </w:r>
          </w:p>
        </w:tc>
        <w:tc>
          <w:tcPr>
            <w:tcW w:w="2269" w:type="dxa"/>
            <w:vMerge/>
            <w:tcBorders>
              <w:top w:val="nil"/>
            </w:tcBorders>
          </w:tcPr>
          <w:p>
            <w:pPr>
              <w:rPr>
                <w:sz w:val="2"/>
                <w:szCs w:val="2"/>
              </w:rPr>
            </w:pPr>
          </w:p>
        </w:tc>
        <w:tc>
          <w:tcPr>
            <w:tcW w:w="999" w:type="dxa"/>
            <w:vMerge/>
            <w:tcBorders>
              <w:top w:val="nil"/>
            </w:tcBorders>
          </w:tcPr>
          <w:p>
            <w:pPr>
              <w:rPr>
                <w:sz w:val="2"/>
                <w:szCs w:val="2"/>
              </w:rPr>
            </w:pPr>
          </w:p>
        </w:tc>
      </w:tr>
    </w:tbl>
    <w:p>
      <w:pPr>
        <w:pStyle w:val="BodyText"/>
        <w:spacing w:before="1"/>
        <w:ind w:left="552"/>
      </w:pPr>
      <w:r>
        <w:rPr>
          <w:w w:val="100"/>
        </w:rPr>
        <w:t> </w:t>
      </w:r>
    </w:p>
    <w:p>
      <w:pPr>
        <w:pStyle w:val="ListParagraph"/>
        <w:numPr>
          <w:ilvl w:val="1"/>
          <w:numId w:val="2"/>
        </w:numPr>
        <w:tabs>
          <w:tab w:pos="1078" w:val="left" w:leader="none"/>
          <w:tab w:pos="1079" w:val="left" w:leader="none"/>
        </w:tabs>
        <w:spacing w:line="240" w:lineRule="auto" w:before="124" w:after="0"/>
        <w:ind w:left="1078" w:right="0" w:hanging="527"/>
        <w:jc w:val="left"/>
        <w:rPr>
          <w:rFonts w:ascii="黑体" w:eastAsia="黑体" w:hint="eastAsia"/>
          <w:sz w:val="21"/>
        </w:rPr>
      </w:pPr>
      <w:r>
        <w:rPr>
          <w:rFonts w:ascii="黑体" w:eastAsia="黑体" w:hint="eastAsia"/>
          <w:spacing w:val="-3"/>
          <w:sz w:val="21"/>
        </w:rPr>
        <w:t>指标计算方法</w:t>
      </w:r>
    </w:p>
    <w:p>
      <w:pPr>
        <w:pStyle w:val="BodyText"/>
        <w:spacing w:before="123"/>
        <w:ind w:left="552"/>
      </w:pPr>
      <w:r>
        <w:rPr/>
        <w:t>相关评价指标计算方法参照附录 A。 </w:t>
      </w:r>
    </w:p>
    <w:p>
      <w:pPr>
        <w:pStyle w:val="BodyText"/>
        <w:rPr>
          <w:sz w:val="19"/>
        </w:rPr>
      </w:pPr>
    </w:p>
    <w:p>
      <w:pPr>
        <w:pStyle w:val="ListParagraph"/>
        <w:numPr>
          <w:ilvl w:val="0"/>
          <w:numId w:val="2"/>
        </w:numPr>
        <w:tabs>
          <w:tab w:pos="869" w:val="left" w:leader="none"/>
          <w:tab w:pos="871" w:val="left" w:leader="none"/>
        </w:tabs>
        <w:spacing w:line="240" w:lineRule="auto" w:before="1" w:after="0"/>
        <w:ind w:left="870" w:right="0" w:hanging="319"/>
        <w:jc w:val="left"/>
        <w:rPr>
          <w:rFonts w:ascii="黑体" w:eastAsia="黑体" w:hint="eastAsia"/>
          <w:sz w:val="21"/>
        </w:rPr>
      </w:pPr>
      <w:bookmarkStart w:name="_bookmark5" w:id="12"/>
      <w:bookmarkEnd w:id="12"/>
      <w:r>
        <w:rPr/>
      </w:r>
      <w:bookmarkStart w:name="_bookmark5" w:id="13"/>
      <w:bookmarkEnd w:id="13"/>
      <w:r>
        <w:rPr>
          <w:rFonts w:ascii="黑体" w:eastAsia="黑体" w:hint="eastAsia"/>
          <w:spacing w:val="-3"/>
          <w:sz w:val="21"/>
        </w:rPr>
        <w:t>评价报告框架</w:t>
      </w:r>
    </w:p>
    <w:p>
      <w:pPr>
        <w:pStyle w:val="BodyText"/>
        <w:spacing w:before="11"/>
        <w:rPr>
          <w:rFonts w:ascii="黑体"/>
          <w:sz w:val="18"/>
        </w:rPr>
      </w:pPr>
    </w:p>
    <w:p>
      <w:pPr>
        <w:pStyle w:val="ListParagraph"/>
        <w:numPr>
          <w:ilvl w:val="1"/>
          <w:numId w:val="2"/>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2"/>
          <w:sz w:val="21"/>
        </w:rPr>
        <w:t>基本信息</w:t>
      </w:r>
    </w:p>
    <w:p>
      <w:pPr>
        <w:pStyle w:val="BodyText"/>
        <w:spacing w:line="242" w:lineRule="auto" w:before="125"/>
        <w:ind w:left="992" w:right="2533"/>
      </w:pPr>
      <w:r>
        <w:rPr/>
        <w:t>a） 报告中应提供报告信息、申请者信息、评估对象信息、采用标准信息； b） 报告信息应包括报告编号、编制人员、审核人员、发布日期等； </w:t>
      </w:r>
    </w:p>
    <w:p>
      <w:pPr>
        <w:pStyle w:val="ListParagraph"/>
        <w:numPr>
          <w:ilvl w:val="0"/>
          <w:numId w:val="4"/>
        </w:numPr>
        <w:tabs>
          <w:tab w:pos="1311" w:val="left" w:leader="none"/>
        </w:tabs>
        <w:spacing w:line="240" w:lineRule="auto" w:before="2" w:after="0"/>
        <w:ind w:left="1310" w:right="0" w:hanging="319"/>
        <w:jc w:val="left"/>
        <w:rPr>
          <w:sz w:val="21"/>
        </w:rPr>
      </w:pPr>
      <w:r>
        <w:rPr>
          <w:spacing w:val="-3"/>
          <w:sz w:val="21"/>
        </w:rPr>
        <w:t>申请者信息应包括生产企业全称、统一社会信用代码、地址、联系人、联系方式等；</w:t>
      </w:r>
      <w:r>
        <w:rPr>
          <w:sz w:val="21"/>
        </w:rPr>
        <w:t> </w:t>
      </w:r>
    </w:p>
    <w:p>
      <w:pPr>
        <w:pStyle w:val="ListParagraph"/>
        <w:numPr>
          <w:ilvl w:val="0"/>
          <w:numId w:val="4"/>
        </w:numPr>
        <w:tabs>
          <w:tab w:pos="1311" w:val="left" w:leader="none"/>
        </w:tabs>
        <w:spacing w:line="244" w:lineRule="auto" w:before="2" w:after="0"/>
        <w:ind w:left="1412" w:right="623" w:hanging="420"/>
        <w:jc w:val="left"/>
        <w:rPr>
          <w:sz w:val="21"/>
        </w:rPr>
      </w:pPr>
      <w:r>
        <w:rPr>
          <w:spacing w:val="-1"/>
          <w:sz w:val="21"/>
        </w:rPr>
        <w:t>报告中应标注产品主要技术参数和功能，包括物理形态、生产厂家、使用范围等。产品重量、 </w:t>
      </w:r>
      <w:r>
        <w:rPr>
          <w:spacing w:val="-3"/>
          <w:sz w:val="21"/>
        </w:rPr>
        <w:t>包装和材质也应在报告中阐明。</w:t>
      </w:r>
      <w:r>
        <w:rPr>
          <w:sz w:val="21"/>
        </w:rPr>
        <w:t> </w:t>
      </w:r>
    </w:p>
    <w:p>
      <w:pPr>
        <w:pStyle w:val="ListParagraph"/>
        <w:numPr>
          <w:ilvl w:val="1"/>
          <w:numId w:val="2"/>
        </w:numPr>
        <w:tabs>
          <w:tab w:pos="1078" w:val="left" w:leader="none"/>
          <w:tab w:pos="1079" w:val="left" w:leader="none"/>
        </w:tabs>
        <w:spacing w:line="240" w:lineRule="auto" w:before="116" w:after="0"/>
        <w:ind w:left="1078" w:right="0" w:hanging="527"/>
        <w:jc w:val="left"/>
        <w:rPr>
          <w:rFonts w:ascii="黑体" w:eastAsia="黑体" w:hint="eastAsia"/>
          <w:sz w:val="21"/>
        </w:rPr>
      </w:pPr>
      <w:r>
        <w:rPr>
          <w:rFonts w:ascii="黑体" w:eastAsia="黑体" w:hint="eastAsia"/>
          <w:spacing w:val="-3"/>
          <w:sz w:val="21"/>
        </w:rPr>
        <w:t>符合性评价</w:t>
      </w:r>
    </w:p>
    <w:p>
      <w:pPr>
        <w:pStyle w:val="BodyText"/>
        <w:spacing w:line="242" w:lineRule="auto" w:before="124"/>
        <w:ind w:left="552" w:right="832" w:firstLine="420"/>
      </w:pPr>
      <w:r>
        <w:rPr>
          <w:spacing w:val="-8"/>
        </w:rPr>
        <w:t>报告中应说明对 </w:t>
      </w:r>
      <w:r>
        <w:rPr/>
        <w:t>4.1、4.2</w:t>
      </w:r>
      <w:r>
        <w:rPr>
          <w:spacing w:val="-29"/>
        </w:rPr>
        <w:t> 和 </w:t>
      </w:r>
      <w:r>
        <w:rPr/>
        <w:t>4.3</w:t>
      </w:r>
      <w:r>
        <w:rPr>
          <w:spacing w:val="-8"/>
        </w:rPr>
        <w:t> 的评价要求的符合性情况，并说明评价指标报告期改进情况，或</w:t>
      </w:r>
      <w:r>
        <w:rPr>
          <w:spacing w:val="-5"/>
        </w:rPr>
        <w:t>同等功能产品对比情况说明。</w:t>
      </w:r>
      <w:r>
        <w:rPr/>
        <w:t> </w:t>
      </w:r>
    </w:p>
    <w:p>
      <w:pPr>
        <w:spacing w:after="0" w:line="242" w:lineRule="auto"/>
        <w:sectPr>
          <w:pgSz w:w="11910" w:h="16840"/>
          <w:pgMar w:header="1138" w:footer="1141" w:top="1320" w:bottom="1340" w:left="580" w:right="580"/>
        </w:sectPr>
      </w:pPr>
    </w:p>
    <w:p>
      <w:pPr>
        <w:pStyle w:val="BodyText"/>
        <w:spacing w:before="11"/>
        <w:rPr>
          <w:sz w:val="22"/>
        </w:rPr>
      </w:pPr>
    </w:p>
    <w:p>
      <w:pPr>
        <w:pStyle w:val="ListParagraph"/>
        <w:numPr>
          <w:ilvl w:val="1"/>
          <w:numId w:val="2"/>
        </w:numPr>
        <w:tabs>
          <w:tab w:pos="1364" w:val="left" w:leader="none"/>
          <w:tab w:pos="1365" w:val="left" w:leader="none"/>
        </w:tabs>
        <w:spacing w:line="240" w:lineRule="auto" w:before="72" w:after="0"/>
        <w:ind w:left="1364" w:right="0" w:hanging="527"/>
        <w:jc w:val="left"/>
        <w:rPr>
          <w:rFonts w:ascii="黑体" w:eastAsia="黑体" w:hint="eastAsia"/>
          <w:sz w:val="21"/>
        </w:rPr>
      </w:pPr>
      <w:r>
        <w:rPr>
          <w:rFonts w:ascii="黑体" w:eastAsia="黑体" w:hint="eastAsia"/>
          <w:spacing w:val="-3"/>
          <w:sz w:val="21"/>
        </w:rPr>
        <w:t>生命周期评价</w:t>
      </w:r>
    </w:p>
    <w:p>
      <w:pPr>
        <w:pStyle w:val="ListParagraph"/>
        <w:numPr>
          <w:ilvl w:val="2"/>
          <w:numId w:val="5"/>
        </w:numPr>
        <w:tabs>
          <w:tab w:pos="1575" w:val="left" w:leader="none"/>
          <w:tab w:pos="1576" w:val="left" w:leader="none"/>
        </w:tabs>
        <w:spacing w:line="240" w:lineRule="auto" w:before="122" w:after="0"/>
        <w:ind w:left="1575" w:right="0" w:hanging="738"/>
        <w:jc w:val="left"/>
        <w:rPr>
          <w:sz w:val="21"/>
        </w:rPr>
      </w:pPr>
      <w:r>
        <w:rPr>
          <w:rFonts w:ascii="黑体" w:eastAsia="黑体" w:hint="eastAsia"/>
          <w:spacing w:val="-3"/>
          <w:sz w:val="21"/>
        </w:rPr>
        <w:t>方法</w:t>
      </w:r>
      <w:r>
        <w:rPr>
          <w:sz w:val="21"/>
        </w:rPr>
        <w:t> </w:t>
      </w:r>
    </w:p>
    <w:p>
      <w:pPr>
        <w:pStyle w:val="BodyText"/>
        <w:spacing w:before="125"/>
        <w:ind w:left="1258"/>
      </w:pPr>
      <w:r>
        <w:rPr>
          <w:spacing w:val="-7"/>
        </w:rPr>
        <w:t>生命周期评价方法根据附录 </w:t>
      </w:r>
      <w:r>
        <w:rPr/>
        <w:t>B</w:t>
      </w:r>
      <w:r>
        <w:rPr>
          <w:spacing w:val="-13"/>
        </w:rPr>
        <w:t> 编制。</w:t>
      </w:r>
      <w:r>
        <w:rPr/>
        <w:t> </w:t>
      </w:r>
    </w:p>
    <w:p>
      <w:pPr>
        <w:pStyle w:val="ListParagraph"/>
        <w:numPr>
          <w:ilvl w:val="2"/>
          <w:numId w:val="5"/>
        </w:numPr>
        <w:tabs>
          <w:tab w:pos="1575" w:val="left" w:leader="none"/>
          <w:tab w:pos="1576" w:val="left" w:leader="none"/>
        </w:tabs>
        <w:spacing w:line="240" w:lineRule="auto" w:before="122" w:after="0"/>
        <w:ind w:left="1575" w:right="0" w:hanging="738"/>
        <w:jc w:val="left"/>
        <w:rPr>
          <w:sz w:val="21"/>
        </w:rPr>
      </w:pPr>
      <w:r>
        <w:rPr>
          <w:rFonts w:ascii="黑体" w:eastAsia="黑体" w:hint="eastAsia"/>
          <w:spacing w:val="-3"/>
          <w:sz w:val="21"/>
        </w:rPr>
        <w:t>评价对象及工具</w:t>
      </w:r>
      <w:r>
        <w:rPr>
          <w:sz w:val="21"/>
        </w:rPr>
        <w:t> </w:t>
      </w:r>
    </w:p>
    <w:p>
      <w:pPr>
        <w:pStyle w:val="ListParagraph"/>
        <w:numPr>
          <w:ilvl w:val="3"/>
          <w:numId w:val="5"/>
        </w:numPr>
        <w:tabs>
          <w:tab w:pos="1596" w:val="left" w:leader="none"/>
        </w:tabs>
        <w:spacing w:line="242" w:lineRule="auto" w:before="124" w:after="0"/>
        <w:ind w:left="1698" w:right="554" w:hanging="420"/>
        <w:jc w:val="left"/>
        <w:rPr>
          <w:sz w:val="21"/>
        </w:rPr>
      </w:pPr>
      <w:r>
        <w:rPr>
          <w:spacing w:val="-1"/>
          <w:sz w:val="21"/>
        </w:rPr>
        <w:t>报告中应描述评估对象、功能单位和产品主要功能，提供产品材料构成及主要技术参数表， </w:t>
      </w:r>
      <w:r>
        <w:rPr>
          <w:spacing w:val="-3"/>
          <w:sz w:val="21"/>
        </w:rPr>
        <w:t>绘制并说明产品系统边界，披露使用的基于中国数据库的软件工具。</w:t>
      </w:r>
      <w:r>
        <w:rPr>
          <w:sz w:val="21"/>
        </w:rPr>
        <w:t> </w:t>
      </w:r>
    </w:p>
    <w:p>
      <w:pPr>
        <w:pStyle w:val="ListParagraph"/>
        <w:numPr>
          <w:ilvl w:val="3"/>
          <w:numId w:val="5"/>
        </w:numPr>
        <w:tabs>
          <w:tab w:pos="1596" w:val="left" w:leader="none"/>
        </w:tabs>
        <w:spacing w:line="240" w:lineRule="auto" w:before="2" w:after="0"/>
        <w:ind w:left="1595" w:right="0" w:hanging="318"/>
        <w:jc w:val="left"/>
        <w:rPr>
          <w:sz w:val="21"/>
        </w:rPr>
      </w:pPr>
      <w:r>
        <w:rPr>
          <w:spacing w:val="-3"/>
          <w:sz w:val="21"/>
        </w:rPr>
        <w:t>本文件功能单位应表示为“一套城镇污泥干化碳化处理一体化装备”。</w:t>
      </w:r>
      <w:r>
        <w:rPr>
          <w:sz w:val="21"/>
        </w:rPr>
        <w:t> </w:t>
      </w:r>
    </w:p>
    <w:p>
      <w:pPr>
        <w:pStyle w:val="ListParagraph"/>
        <w:numPr>
          <w:ilvl w:val="2"/>
          <w:numId w:val="5"/>
        </w:numPr>
        <w:tabs>
          <w:tab w:pos="1575" w:val="left" w:leader="none"/>
          <w:tab w:pos="1576" w:val="left" w:leader="none"/>
        </w:tabs>
        <w:spacing w:line="240" w:lineRule="auto" w:before="122" w:after="0"/>
        <w:ind w:left="1575" w:right="0" w:hanging="738"/>
        <w:jc w:val="left"/>
        <w:rPr>
          <w:sz w:val="21"/>
        </w:rPr>
      </w:pPr>
      <w:r>
        <w:rPr>
          <w:rFonts w:ascii="黑体" w:eastAsia="黑体" w:hint="eastAsia"/>
          <w:spacing w:val="-3"/>
          <w:sz w:val="21"/>
        </w:rPr>
        <w:t>生命周期清单分析</w:t>
      </w:r>
      <w:r>
        <w:rPr>
          <w:sz w:val="21"/>
        </w:rPr>
        <w:t> </w:t>
      </w:r>
    </w:p>
    <w:p>
      <w:pPr>
        <w:pStyle w:val="BodyText"/>
        <w:spacing w:line="242" w:lineRule="auto" w:before="124"/>
        <w:ind w:left="838" w:right="558" w:firstLine="420"/>
      </w:pPr>
      <w:r>
        <w:rPr/>
        <w:t>报告中应提供生命周期阶段，说明每个阶段的清单因子及收集到的现场数据或背景数据，涉及到数据分配的情况应说明分配方法和结果。可参照附录 B.3。 </w:t>
      </w:r>
    </w:p>
    <w:p>
      <w:pPr>
        <w:pStyle w:val="ListParagraph"/>
        <w:numPr>
          <w:ilvl w:val="2"/>
          <w:numId w:val="5"/>
        </w:numPr>
        <w:tabs>
          <w:tab w:pos="1575" w:val="left" w:leader="none"/>
          <w:tab w:pos="1576" w:val="left" w:leader="none"/>
        </w:tabs>
        <w:spacing w:line="240" w:lineRule="auto" w:before="122" w:after="0"/>
        <w:ind w:left="1575" w:right="0" w:hanging="738"/>
        <w:jc w:val="left"/>
        <w:rPr>
          <w:sz w:val="21"/>
        </w:rPr>
      </w:pPr>
      <w:r>
        <w:rPr>
          <w:rFonts w:ascii="黑体" w:eastAsia="黑体" w:hint="eastAsia"/>
          <w:spacing w:val="-3"/>
          <w:sz w:val="21"/>
        </w:rPr>
        <w:t>生命周期影响评价</w:t>
      </w:r>
      <w:r>
        <w:rPr>
          <w:sz w:val="21"/>
        </w:rPr>
        <w:t> </w:t>
      </w:r>
    </w:p>
    <w:p>
      <w:pPr>
        <w:pStyle w:val="BodyText"/>
        <w:spacing w:line="242" w:lineRule="auto" w:before="122"/>
        <w:ind w:left="838" w:right="558" w:firstLine="420"/>
      </w:pPr>
      <w:r>
        <w:rPr/>
        <w:t>报告中应提供产品生命周期各阶段的不同影响类型的特征化值，并对不同影响类型在各生命周期阶段的分布情况进行比较分析。可参照附录 B.4。 </w:t>
      </w:r>
    </w:p>
    <w:p>
      <w:pPr>
        <w:pStyle w:val="ListParagraph"/>
        <w:numPr>
          <w:ilvl w:val="2"/>
          <w:numId w:val="5"/>
        </w:numPr>
        <w:tabs>
          <w:tab w:pos="1575" w:val="left" w:leader="none"/>
          <w:tab w:pos="1576" w:val="left" w:leader="none"/>
        </w:tabs>
        <w:spacing w:line="240" w:lineRule="auto" w:before="122" w:after="0"/>
        <w:ind w:left="1575" w:right="0" w:hanging="738"/>
        <w:jc w:val="left"/>
        <w:rPr>
          <w:sz w:val="21"/>
        </w:rPr>
      </w:pPr>
      <w:r>
        <w:rPr>
          <w:rFonts w:ascii="黑体" w:eastAsia="黑体" w:hint="eastAsia"/>
          <w:spacing w:val="-3"/>
          <w:sz w:val="21"/>
        </w:rPr>
        <w:t>绿色设计改进方案</w:t>
      </w:r>
      <w:r>
        <w:rPr>
          <w:sz w:val="21"/>
        </w:rPr>
        <w:t> </w:t>
      </w:r>
    </w:p>
    <w:p>
      <w:pPr>
        <w:pStyle w:val="BodyText"/>
        <w:spacing w:before="122"/>
        <w:ind w:left="1258"/>
      </w:pPr>
      <w:r>
        <w:rPr/>
        <w:t>在分析指标符合性评价结果以及生命周期评价结果基础上，应提出产品绿色设计改进方案。 </w:t>
      </w:r>
    </w:p>
    <w:p>
      <w:pPr>
        <w:pStyle w:val="ListParagraph"/>
        <w:numPr>
          <w:ilvl w:val="2"/>
          <w:numId w:val="5"/>
        </w:numPr>
        <w:tabs>
          <w:tab w:pos="1575" w:val="left" w:leader="none"/>
          <w:tab w:pos="1576" w:val="left" w:leader="none"/>
        </w:tabs>
        <w:spacing w:line="240" w:lineRule="auto" w:before="124" w:after="0"/>
        <w:ind w:left="1575" w:right="0" w:hanging="738"/>
        <w:jc w:val="left"/>
        <w:rPr>
          <w:sz w:val="21"/>
        </w:rPr>
      </w:pPr>
      <w:r>
        <w:rPr>
          <w:rFonts w:ascii="黑体" w:eastAsia="黑体" w:hint="eastAsia"/>
          <w:spacing w:val="-3"/>
          <w:sz w:val="21"/>
        </w:rPr>
        <w:t>评价报告主要结论</w:t>
      </w:r>
      <w:r>
        <w:rPr>
          <w:sz w:val="21"/>
        </w:rPr>
        <w:t> </w:t>
      </w:r>
    </w:p>
    <w:p>
      <w:pPr>
        <w:pStyle w:val="BodyText"/>
        <w:spacing w:line="244" w:lineRule="auto" w:before="122"/>
        <w:ind w:left="838" w:right="550" w:firstLine="420"/>
      </w:pPr>
      <w:r>
        <w:rPr/>
        <w:t>评价报告主要结论应说明产品对评价指标的符合性结论、生命周期评价结果、提出改进方案，并根据评价结论初步判断该产品是否为绿色设计产品。 </w:t>
      </w:r>
    </w:p>
    <w:p>
      <w:pPr>
        <w:pStyle w:val="ListParagraph"/>
        <w:numPr>
          <w:ilvl w:val="2"/>
          <w:numId w:val="5"/>
        </w:numPr>
        <w:tabs>
          <w:tab w:pos="1575" w:val="left" w:leader="none"/>
          <w:tab w:pos="1576" w:val="left" w:leader="none"/>
        </w:tabs>
        <w:spacing w:line="240" w:lineRule="auto" w:before="116" w:after="0"/>
        <w:ind w:left="1575" w:right="0" w:hanging="738"/>
        <w:jc w:val="left"/>
        <w:rPr>
          <w:sz w:val="21"/>
        </w:rPr>
      </w:pPr>
      <w:r>
        <w:rPr>
          <w:rFonts w:ascii="黑体" w:eastAsia="黑体" w:hint="eastAsia"/>
          <w:spacing w:val="-3"/>
          <w:sz w:val="21"/>
        </w:rPr>
        <w:t>附件</w:t>
      </w:r>
      <w:r>
        <w:rPr>
          <w:sz w:val="21"/>
        </w:rPr>
        <w:t> </w:t>
      </w:r>
    </w:p>
    <w:p>
      <w:pPr>
        <w:pStyle w:val="BodyText"/>
        <w:spacing w:line="242" w:lineRule="auto" w:before="125"/>
        <w:ind w:left="1278" w:right="7107" w:hanging="20"/>
      </w:pPr>
      <w:r>
        <w:rPr>
          <w:spacing w:val="-3"/>
        </w:rPr>
        <w:t>附件应包括下列内容： </w:t>
      </w:r>
      <w:r>
        <w:rPr/>
        <w:t>a）</w:t>
      </w:r>
      <w:r>
        <w:rPr>
          <w:spacing w:val="-3"/>
        </w:rPr>
        <w:t> 产品样图或分解图； </w:t>
      </w:r>
      <w:r>
        <w:rPr/>
        <w:t>b）</w:t>
      </w:r>
      <w:r>
        <w:rPr>
          <w:spacing w:val="-3"/>
        </w:rPr>
        <w:t> 产品生产材料清单；</w:t>
      </w:r>
      <w:r>
        <w:rPr/>
        <w:t> </w:t>
      </w:r>
    </w:p>
    <w:p>
      <w:pPr>
        <w:pStyle w:val="BodyText"/>
        <w:spacing w:line="244" w:lineRule="auto" w:before="1"/>
        <w:ind w:left="1278" w:right="5177"/>
      </w:pPr>
      <w:r>
        <w:rPr/>
        <w:t>c） 产品工艺表、产品生产工艺过程示意图； d） 单元过程的数据收集表； </w:t>
      </w:r>
    </w:p>
    <w:p>
      <w:pPr>
        <w:pStyle w:val="BodyText"/>
        <w:spacing w:line="265" w:lineRule="exact"/>
        <w:ind w:left="1278"/>
      </w:pPr>
      <w:r>
        <w:rPr/>
        <w:t>e） 其他。 </w:t>
      </w:r>
    </w:p>
    <w:p>
      <w:pPr>
        <w:pStyle w:val="BodyText"/>
        <w:spacing w:before="1"/>
        <w:rPr>
          <w:sz w:val="19"/>
        </w:rPr>
      </w:pPr>
    </w:p>
    <w:p>
      <w:pPr>
        <w:pStyle w:val="ListParagraph"/>
        <w:numPr>
          <w:ilvl w:val="0"/>
          <w:numId w:val="2"/>
        </w:numPr>
        <w:tabs>
          <w:tab w:pos="1155" w:val="left" w:leader="none"/>
          <w:tab w:pos="1156" w:val="left" w:leader="none"/>
        </w:tabs>
        <w:spacing w:line="240" w:lineRule="auto" w:before="0" w:after="0"/>
        <w:ind w:left="1155" w:right="0" w:hanging="318"/>
        <w:jc w:val="left"/>
        <w:rPr>
          <w:rFonts w:ascii="黑体" w:eastAsia="黑体" w:hint="eastAsia"/>
          <w:sz w:val="21"/>
        </w:rPr>
      </w:pPr>
      <w:bookmarkStart w:name="_bookmark6" w:id="14"/>
      <w:bookmarkEnd w:id="14"/>
      <w:r>
        <w:rPr/>
      </w:r>
      <w:bookmarkStart w:name="_bookmark6" w:id="15"/>
      <w:bookmarkEnd w:id="15"/>
      <w:r>
        <w:rPr>
          <w:rFonts w:ascii="黑体" w:eastAsia="黑体" w:hint="eastAsia"/>
          <w:spacing w:val="-3"/>
          <w:sz w:val="21"/>
        </w:rPr>
        <w:t>评价方法</w:t>
      </w:r>
    </w:p>
    <w:p>
      <w:pPr>
        <w:pStyle w:val="BodyText"/>
        <w:spacing w:before="11"/>
        <w:rPr>
          <w:rFonts w:ascii="黑体"/>
          <w:sz w:val="18"/>
        </w:rPr>
      </w:pPr>
    </w:p>
    <w:p>
      <w:pPr>
        <w:pStyle w:val="ListParagraph"/>
        <w:numPr>
          <w:ilvl w:val="1"/>
          <w:numId w:val="2"/>
        </w:numPr>
        <w:tabs>
          <w:tab w:pos="1364" w:val="left" w:leader="none"/>
          <w:tab w:pos="1365" w:val="left" w:leader="none"/>
        </w:tabs>
        <w:spacing w:line="244" w:lineRule="auto" w:before="1" w:after="0"/>
        <w:ind w:left="1278" w:right="1922" w:hanging="440"/>
        <w:jc w:val="left"/>
        <w:rPr>
          <w:sz w:val="21"/>
        </w:rPr>
      </w:pPr>
      <w:r>
        <w:rPr/>
        <w:tab/>
      </w:r>
      <w:r>
        <w:rPr>
          <w:spacing w:val="-3"/>
          <w:sz w:val="21"/>
        </w:rPr>
        <w:t>同时满足下列条件的城镇污泥干化碳化处理一体化装备可评定为绿色设计产品： </w:t>
      </w:r>
      <w:r>
        <w:rPr>
          <w:sz w:val="21"/>
        </w:rPr>
        <w:t>a）</w:t>
      </w:r>
      <w:r>
        <w:rPr>
          <w:spacing w:val="-14"/>
          <w:sz w:val="21"/>
        </w:rPr>
        <w:t> 满足 </w:t>
      </w:r>
      <w:r>
        <w:rPr>
          <w:sz w:val="21"/>
        </w:rPr>
        <w:t>4.1</w:t>
      </w:r>
      <w:r>
        <w:rPr>
          <w:spacing w:val="-3"/>
          <w:sz w:val="21"/>
        </w:rPr>
        <w:t>、</w:t>
      </w:r>
      <w:r>
        <w:rPr>
          <w:sz w:val="21"/>
        </w:rPr>
        <w:t>4.2</w:t>
      </w:r>
      <w:r>
        <w:rPr>
          <w:spacing w:val="-36"/>
          <w:sz w:val="21"/>
        </w:rPr>
        <w:t> 和 </w:t>
      </w:r>
      <w:r>
        <w:rPr>
          <w:sz w:val="21"/>
        </w:rPr>
        <w:t>4.3</w:t>
      </w:r>
      <w:r>
        <w:rPr>
          <w:spacing w:val="-10"/>
          <w:sz w:val="21"/>
        </w:rPr>
        <w:t> 的评价要求；</w:t>
      </w:r>
      <w:r>
        <w:rPr>
          <w:sz w:val="21"/>
        </w:rPr>
        <w:t> </w:t>
      </w:r>
    </w:p>
    <w:p>
      <w:pPr>
        <w:pStyle w:val="BodyText"/>
        <w:spacing w:line="265" w:lineRule="exact"/>
        <w:ind w:left="1278"/>
      </w:pPr>
      <w:r>
        <w:rPr/>
        <w:t>b） 按 5.3 的要求提供产品生命周期评价报告。 </w:t>
      </w:r>
    </w:p>
    <w:p>
      <w:pPr>
        <w:pStyle w:val="ListParagraph"/>
        <w:numPr>
          <w:ilvl w:val="1"/>
          <w:numId w:val="2"/>
        </w:numPr>
        <w:tabs>
          <w:tab w:pos="1364" w:val="left" w:leader="none"/>
          <w:tab w:pos="1365" w:val="left" w:leader="none"/>
        </w:tabs>
        <w:spacing w:line="242" w:lineRule="auto" w:before="4" w:after="0"/>
        <w:ind w:left="838" w:right="546" w:firstLine="0"/>
        <w:jc w:val="left"/>
        <w:rPr>
          <w:sz w:val="21"/>
        </w:rPr>
      </w:pPr>
      <w:r>
        <w:rPr>
          <w:spacing w:val="-8"/>
          <w:sz w:val="21"/>
        </w:rPr>
        <w:t>绿色设计产品标识可按 </w:t>
      </w:r>
      <w:r>
        <w:rPr>
          <w:sz w:val="21"/>
        </w:rPr>
        <w:t>GB/T</w:t>
      </w:r>
      <w:r>
        <w:rPr>
          <w:spacing w:val="15"/>
          <w:sz w:val="21"/>
        </w:rPr>
        <w:t> </w:t>
      </w:r>
      <w:r>
        <w:rPr>
          <w:sz w:val="21"/>
        </w:rPr>
        <w:t>32162</w:t>
      </w:r>
      <w:r>
        <w:rPr>
          <w:spacing w:val="-2"/>
          <w:sz w:val="21"/>
        </w:rPr>
        <w:t> 确定。按</w:t>
      </w:r>
      <w:r>
        <w:rPr>
          <w:sz w:val="21"/>
        </w:rPr>
        <w:t>GB/T</w:t>
      </w:r>
      <w:r>
        <w:rPr>
          <w:spacing w:val="15"/>
          <w:sz w:val="21"/>
        </w:rPr>
        <w:t> </w:t>
      </w:r>
      <w:r>
        <w:rPr>
          <w:sz w:val="21"/>
        </w:rPr>
        <w:t>32162</w:t>
      </w:r>
      <w:r>
        <w:rPr>
          <w:spacing w:val="-8"/>
          <w:sz w:val="21"/>
        </w:rPr>
        <w:t> 规定标识的产品进行信息声明时，声明</w:t>
      </w:r>
      <w:r>
        <w:rPr>
          <w:spacing w:val="-13"/>
          <w:sz w:val="21"/>
        </w:rPr>
        <w:t>内容应包括 </w:t>
      </w:r>
      <w:r>
        <w:rPr>
          <w:sz w:val="21"/>
        </w:rPr>
        <w:t>4.1、4.2</w:t>
      </w:r>
      <w:r>
        <w:rPr>
          <w:spacing w:val="-36"/>
          <w:sz w:val="21"/>
        </w:rPr>
        <w:t> 和 </w:t>
      </w:r>
      <w:r>
        <w:rPr>
          <w:sz w:val="21"/>
        </w:rPr>
        <w:t>4.3</w:t>
      </w:r>
      <w:r>
        <w:rPr>
          <w:spacing w:val="-9"/>
          <w:sz w:val="21"/>
        </w:rPr>
        <w:t> 的评价要求，且应提供符合有关要求的验证说明材料。</w:t>
      </w:r>
      <w:r>
        <w:rPr>
          <w:sz w:val="21"/>
        </w:rPr>
        <w:t> </w:t>
      </w:r>
    </w:p>
    <w:p>
      <w:pPr>
        <w:pStyle w:val="BodyText"/>
        <w:spacing w:before="1"/>
        <w:ind w:left="1258"/>
      </w:pPr>
      <w:r>
        <w:rPr>
          <w:w w:val="100"/>
        </w:rPr>
        <w:t> </w:t>
      </w:r>
    </w:p>
    <w:p>
      <w:pPr>
        <w:spacing w:after="0"/>
        <w:sectPr>
          <w:pgSz w:w="11910" w:h="16840"/>
          <w:pgMar w:header="1138" w:footer="1141" w:top="1320" w:bottom="1340" w:left="580" w:right="580"/>
        </w:sect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422" w:val="left" w:leader="none"/>
          <w:tab w:pos="842" w:val="left" w:leader="none"/>
        </w:tabs>
        <w:ind w:right="284"/>
        <w:jc w:val="center"/>
        <w:rPr>
          <w:rFonts w:ascii="黑体" w:eastAsia="黑体" w:hint="eastAsia"/>
        </w:rPr>
      </w:pPr>
      <w:bookmarkStart w:name="_bookmark7" w:id="16"/>
      <w:bookmarkEnd w:id="16"/>
      <w:r>
        <w:rPr/>
      </w:r>
      <w:r>
        <w:rPr>
          <w:rFonts w:ascii="黑体" w:eastAsia="黑体" w:hint="eastAsia"/>
        </w:rPr>
        <w:t>附</w:t>
        <w:tab/>
        <w:t>录</w:t>
        <w:tab/>
        <w:t>A</w:t>
      </w:r>
    </w:p>
    <w:p>
      <w:pPr>
        <w:pStyle w:val="BodyText"/>
        <w:spacing w:line="242" w:lineRule="auto" w:before="2"/>
        <w:ind w:left="4600" w:right="4881" w:hanging="3"/>
        <w:jc w:val="center"/>
        <w:rPr>
          <w:rFonts w:ascii="黑体" w:eastAsia="黑体" w:hint="eastAsia"/>
        </w:rPr>
      </w:pPr>
      <w:r>
        <w:rPr>
          <w:rFonts w:ascii="黑体" w:eastAsia="黑体" w:hint="eastAsia"/>
        </w:rPr>
        <w:t>（</w:t>
      </w:r>
      <w:r>
        <w:rPr>
          <w:rFonts w:ascii="黑体" w:eastAsia="黑体" w:hint="eastAsia"/>
          <w:spacing w:val="-2"/>
        </w:rPr>
        <w:t>规范性</w:t>
      </w:r>
      <w:r>
        <w:rPr>
          <w:rFonts w:ascii="黑体" w:eastAsia="黑体" w:hint="eastAsia"/>
        </w:rPr>
        <w:t>） </w:t>
      </w:r>
      <w:r>
        <w:rPr>
          <w:rFonts w:ascii="黑体" w:eastAsia="黑体" w:hint="eastAsia"/>
          <w:spacing w:val="-5"/>
        </w:rPr>
        <w:t>指标计算方法</w:t>
      </w:r>
    </w:p>
    <w:p>
      <w:pPr>
        <w:pStyle w:val="BodyText"/>
        <w:spacing w:before="6"/>
        <w:rPr>
          <w:rFonts w:ascii="黑体"/>
          <w:sz w:val="16"/>
        </w:rPr>
      </w:pPr>
    </w:p>
    <w:p>
      <w:pPr>
        <w:pStyle w:val="ListParagraph"/>
        <w:numPr>
          <w:ilvl w:val="1"/>
          <w:numId w:val="6"/>
        </w:numPr>
        <w:tabs>
          <w:tab w:pos="1078" w:val="left" w:leader="none"/>
          <w:tab w:pos="1079" w:val="left" w:leader="none"/>
        </w:tabs>
        <w:spacing w:line="240" w:lineRule="auto" w:before="71" w:after="0"/>
        <w:ind w:left="1078" w:right="0" w:hanging="527"/>
        <w:jc w:val="left"/>
        <w:rPr>
          <w:rFonts w:ascii="黑体" w:eastAsia="黑体" w:hint="eastAsia"/>
          <w:sz w:val="21"/>
        </w:rPr>
      </w:pPr>
      <w:r>
        <w:rPr>
          <w:rFonts w:ascii="黑体" w:eastAsia="黑体" w:hint="eastAsia"/>
          <w:spacing w:val="-3"/>
          <w:sz w:val="21"/>
        </w:rPr>
        <w:t>钢材利用率</w:t>
      </w:r>
    </w:p>
    <w:p>
      <w:pPr>
        <w:pStyle w:val="BodyText"/>
        <w:spacing w:before="4"/>
        <w:rPr>
          <w:rFonts w:ascii="黑体"/>
          <w:sz w:val="13"/>
        </w:rPr>
      </w:pPr>
    </w:p>
    <w:p>
      <w:pPr>
        <w:spacing w:after="0"/>
        <w:rPr>
          <w:rFonts w:ascii="黑体"/>
          <w:sz w:val="13"/>
        </w:rPr>
        <w:sectPr>
          <w:pgSz w:w="11910" w:h="16840"/>
          <w:pgMar w:header="1138" w:footer="1141" w:top="1320" w:bottom="1340" w:left="580" w:right="580"/>
        </w:sectPr>
      </w:pPr>
    </w:p>
    <w:p>
      <w:pPr>
        <w:pStyle w:val="BodyText"/>
        <w:spacing w:before="72"/>
        <w:ind w:left="973"/>
      </w:pPr>
      <w:r>
        <w:rPr/>
        <w:t>钢材利用率，按公式 A.1 计算： </w:t>
      </w:r>
    </w:p>
    <w:p>
      <w:pPr>
        <w:pStyle w:val="BodyText"/>
        <w:spacing w:before="3"/>
        <w:rPr>
          <w:sz w:val="15"/>
        </w:rPr>
      </w:pPr>
    </w:p>
    <w:p>
      <w:pPr>
        <w:tabs>
          <w:tab w:pos="3925" w:val="left" w:leader="none"/>
        </w:tabs>
        <w:spacing w:before="0"/>
        <w:ind w:left="973" w:right="0" w:firstLine="0"/>
        <w:jc w:val="left"/>
        <w:rPr>
          <w:rFonts w:ascii="Cambria Math" w:eastAsia="Cambria Math"/>
          <w:sz w:val="18"/>
        </w:rPr>
      </w:pPr>
      <w:r>
        <w:rPr>
          <w:w w:val="100"/>
          <w:sz w:val="21"/>
        </w:rPr>
        <w:t> </w:t>
      </w:r>
      <w:r>
        <w:rPr>
          <w:sz w:val="21"/>
        </w:rPr>
        <w:tab/>
      </w:r>
      <w:r>
        <w:rPr>
          <w:rFonts w:ascii="Cambria Math" w:eastAsia="Cambria Math"/>
          <w:spacing w:val="-155"/>
          <w:w w:val="99"/>
          <w:sz w:val="26"/>
        </w:rPr>
        <w:t>𝑉</w:t>
      </w:r>
      <w:r>
        <w:rPr>
          <w:rFonts w:ascii="Cambria Math" w:eastAsia="Cambria Math"/>
          <w:spacing w:val="-100"/>
          <w:w w:val="130"/>
          <w:position w:val="-4"/>
          <w:sz w:val="18"/>
        </w:rPr>
        <w:t>�</w:t>
      </w:r>
      <w:r>
        <w:rPr>
          <w:rFonts w:ascii="Cambria Math" w:eastAsia="Cambria Math"/>
          <w:spacing w:val="-93"/>
          <w:w w:val="130"/>
          <w:position w:val="-4"/>
          <w:sz w:val="18"/>
        </w:rPr>
        <w:t>�</w:t>
      </w:r>
    </w:p>
    <w:p>
      <w:pPr>
        <w:pStyle w:val="BodyText"/>
        <w:spacing w:before="9"/>
        <w:rPr>
          <w:rFonts w:ascii="Cambria Math"/>
          <w:sz w:val="37"/>
        </w:rPr>
      </w:pPr>
      <w:r>
        <w:rPr/>
        <w:br w:type="column"/>
      </w:r>
      <w:r>
        <w:rPr>
          <w:rFonts w:ascii="Cambria Math"/>
          <w:sz w:val="37"/>
        </w:rPr>
      </w:r>
    </w:p>
    <w:p>
      <w:pPr>
        <w:tabs>
          <w:tab w:pos="4873" w:val="left" w:leader="dot"/>
        </w:tabs>
        <w:spacing w:line="351" w:lineRule="exact" w:before="0"/>
        <w:ind w:left="48" w:right="0" w:firstLine="0"/>
        <w:jc w:val="left"/>
        <w:rPr>
          <w:sz w:val="21"/>
        </w:rPr>
      </w:pPr>
      <w:r>
        <w:rPr>
          <w:rFonts w:ascii="Cambria Math" w:hAnsi="Cambria Math" w:eastAsia="Cambria Math"/>
          <w:sz w:val="26"/>
        </w:rPr>
        <w:t>= </w:t>
      </w:r>
      <w:r>
        <w:rPr>
          <w:rFonts w:ascii="Cambria Math" w:hAnsi="Cambria Math" w:eastAsia="Cambria Math"/>
          <w:position w:val="17"/>
          <w:sz w:val="26"/>
          <w:u w:val="single"/>
        </w:rPr>
        <w:t> </w:t>
      </w:r>
      <w:r>
        <w:rPr>
          <w:rFonts w:ascii="Cambria Math" w:hAnsi="Cambria Math" w:eastAsia="Cambria Math"/>
          <w:spacing w:val="-3"/>
          <w:position w:val="17"/>
          <w:sz w:val="18"/>
          <w:u w:val="single"/>
        </w:rPr>
        <w:t>𝑀</w:t>
      </w:r>
      <w:r>
        <w:rPr>
          <w:rFonts w:ascii="Cambria Math" w:hAnsi="Cambria Math" w:eastAsia="Cambria Math"/>
          <w:spacing w:val="-3"/>
          <w:position w:val="13"/>
          <w:sz w:val="15"/>
          <w:u w:val="single"/>
        </w:rPr>
        <w:t>𝑐</w:t>
      </w:r>
      <w:r>
        <w:rPr>
          <w:rFonts w:ascii="Cambria Math" w:hAnsi="Cambria Math" w:eastAsia="Cambria Math"/>
          <w:spacing w:val="-3"/>
          <w:position w:val="17"/>
          <w:sz w:val="18"/>
          <w:u w:val="single"/>
        </w:rPr>
        <w:t>−𝑀</w:t>
      </w:r>
      <w:r>
        <w:rPr>
          <w:rFonts w:ascii="Cambria Math" w:hAnsi="Cambria Math" w:eastAsia="Cambria Math"/>
          <w:spacing w:val="-3"/>
          <w:position w:val="13"/>
          <w:sz w:val="15"/>
          <w:u w:val="single"/>
        </w:rPr>
        <w:t>𝑔</w:t>
      </w:r>
      <w:r>
        <w:rPr>
          <w:rFonts w:ascii="Cambria Math" w:hAnsi="Cambria Math" w:eastAsia="Cambria Math"/>
          <w:spacing w:val="1"/>
          <w:position w:val="13"/>
          <w:sz w:val="15"/>
        </w:rPr>
        <w:t> </w:t>
      </w:r>
      <w:r>
        <w:rPr>
          <w:rFonts w:ascii="Times New Roman" w:hAnsi="Times New Roman" w:eastAsia="Times New Roman"/>
          <w:sz w:val="26"/>
        </w:rPr>
        <w:t>×</w:t>
      </w:r>
      <w:r>
        <w:rPr>
          <w:rFonts w:ascii="Times New Roman" w:hAnsi="Times New Roman" w:eastAsia="Times New Roman"/>
          <w:spacing w:val="-27"/>
          <w:sz w:val="26"/>
        </w:rPr>
        <w:t> </w:t>
      </w:r>
      <w:r>
        <w:rPr>
          <w:rFonts w:ascii="Times New Roman" w:hAnsi="Times New Roman" w:eastAsia="Times New Roman"/>
          <w:sz w:val="26"/>
        </w:rPr>
        <w:t>100%</w:t>
        <w:tab/>
      </w:r>
      <w:r>
        <w:rPr>
          <w:sz w:val="21"/>
        </w:rPr>
        <w:t>（A.1） </w:t>
      </w:r>
    </w:p>
    <w:p>
      <w:pPr>
        <w:spacing w:line="170" w:lineRule="auto" w:before="0"/>
        <w:ind w:left="509" w:right="0" w:firstLine="0"/>
        <w:jc w:val="left"/>
        <w:rPr>
          <w:rFonts w:ascii="Cambria Math" w:eastAsia="Cambria Math"/>
          <w:sz w:val="15"/>
        </w:rPr>
      </w:pPr>
      <w:r>
        <w:rPr>
          <w:rFonts w:ascii="Cambria Math" w:eastAsia="Cambria Math"/>
          <w:w w:val="110"/>
          <w:sz w:val="18"/>
        </w:rPr>
        <w:t>𝑀</w:t>
      </w:r>
      <w:r>
        <w:rPr>
          <w:rFonts w:ascii="Cambria Math" w:eastAsia="Cambria Math"/>
          <w:w w:val="110"/>
          <w:position w:val="-3"/>
          <w:sz w:val="15"/>
        </w:rPr>
        <w:t>𝑐</w:t>
      </w:r>
    </w:p>
    <w:p>
      <w:pPr>
        <w:spacing w:after="0" w:line="170" w:lineRule="auto"/>
        <w:jc w:val="left"/>
        <w:rPr>
          <w:rFonts w:ascii="Cambria Math" w:eastAsia="Cambria Math"/>
          <w:sz w:val="15"/>
        </w:rPr>
        <w:sectPr>
          <w:type w:val="continuous"/>
          <w:pgSz w:w="11910" w:h="16840"/>
          <w:pgMar w:top="520" w:bottom="280" w:left="580" w:right="580"/>
          <w:cols w:num="2" w:equalWidth="0">
            <w:col w:w="4119" w:space="40"/>
            <w:col w:w="6591"/>
          </w:cols>
        </w:sectPr>
      </w:pPr>
    </w:p>
    <w:p>
      <w:pPr>
        <w:pStyle w:val="BodyText"/>
        <w:spacing w:before="98"/>
        <w:ind w:left="973"/>
      </w:pPr>
      <w:r>
        <w:rPr/>
        <w:t>式中： </w:t>
      </w:r>
    </w:p>
    <w:p>
      <w:pPr>
        <w:pStyle w:val="BodyText"/>
        <w:spacing w:before="2"/>
        <w:ind w:left="992"/>
      </w:pPr>
      <w:r>
        <w:rPr>
          <w:rFonts w:ascii="Times New Roman" w:hAnsi="Times New Roman" w:eastAsia="Times New Roman"/>
          <w:i/>
          <w:position w:val="2"/>
        </w:rPr>
        <w:t>V</w:t>
      </w:r>
      <w:r>
        <w:rPr>
          <w:rFonts w:ascii="Arial" w:hAnsi="Arial" w:eastAsia="Arial"/>
          <w:i/>
          <w:sz w:val="14"/>
        </w:rPr>
        <w:t>j</w:t>
      </w:r>
      <w:r>
        <w:rPr>
          <w:rFonts w:ascii="Arial" w:hAnsi="Arial" w:eastAsia="Arial"/>
          <w:i/>
          <w:position w:val="2"/>
          <w:sz w:val="14"/>
        </w:rPr>
        <w:t> </w:t>
      </w:r>
      <w:r>
        <w:rPr>
          <w:rFonts w:ascii="Times New Roman" w:hAnsi="Times New Roman" w:eastAsia="Times New Roman"/>
          <w:position w:val="2"/>
        </w:rPr>
        <w:t>——</w:t>
      </w:r>
      <w:r>
        <w:rPr>
          <w:position w:val="2"/>
        </w:rPr>
        <w:t>钢材利用率，单位为百分比（</w:t>
      </w:r>
      <w:r>
        <w:rPr>
          <w:rFonts w:ascii="Times New Roman" w:hAnsi="Times New Roman" w:eastAsia="Times New Roman"/>
          <w:position w:val="2"/>
        </w:rPr>
        <w:t>%</w:t>
      </w:r>
      <w:r>
        <w:rPr>
          <w:position w:val="2"/>
        </w:rPr>
        <w:t>）； </w:t>
      </w:r>
    </w:p>
    <w:p>
      <w:pPr>
        <w:pStyle w:val="BodyText"/>
        <w:spacing w:before="2"/>
        <w:ind w:left="992"/>
      </w:pPr>
      <w:r>
        <w:rPr>
          <w:rFonts w:ascii="Times New Roman" w:hAnsi="Times New Roman" w:eastAsia="Times New Roman"/>
          <w:i/>
          <w:position w:val="2"/>
        </w:rPr>
        <w:t>M</w:t>
      </w:r>
      <w:r>
        <w:rPr>
          <w:rFonts w:ascii="Arial" w:hAnsi="Arial" w:eastAsia="Arial"/>
          <w:i/>
          <w:sz w:val="14"/>
        </w:rPr>
        <w:t>c</w:t>
      </w:r>
      <w:r>
        <w:rPr>
          <w:rFonts w:ascii="Arial" w:hAnsi="Arial" w:eastAsia="Arial"/>
          <w:i/>
          <w:position w:val="2"/>
          <w:sz w:val="14"/>
        </w:rPr>
        <w:t> </w:t>
      </w:r>
      <w:r>
        <w:rPr>
          <w:rFonts w:ascii="Times New Roman" w:hAnsi="Times New Roman" w:eastAsia="Times New Roman"/>
          <w:position w:val="2"/>
        </w:rPr>
        <w:t>——</w:t>
      </w:r>
      <w:r>
        <w:rPr>
          <w:position w:val="2"/>
        </w:rPr>
        <w:t>统计期内企业消耗钢材的重量，单位为吨（t）； </w:t>
      </w:r>
    </w:p>
    <w:p>
      <w:pPr>
        <w:pStyle w:val="BodyText"/>
        <w:spacing w:before="5"/>
        <w:ind w:left="992"/>
      </w:pPr>
      <w:r>
        <w:rPr>
          <w:rFonts w:ascii="Times New Roman" w:hAnsi="Times New Roman" w:eastAsia="Times New Roman"/>
          <w:i/>
          <w:position w:val="2"/>
        </w:rPr>
        <w:t>M</w:t>
      </w:r>
      <w:r>
        <w:rPr>
          <w:rFonts w:ascii="Arial" w:hAnsi="Arial" w:eastAsia="Arial"/>
          <w:i/>
          <w:sz w:val="14"/>
        </w:rPr>
        <w:t>g </w:t>
      </w:r>
      <w:r>
        <w:rPr>
          <w:rFonts w:ascii="Times New Roman" w:hAnsi="Times New Roman" w:eastAsia="Times New Roman"/>
          <w:position w:val="2"/>
        </w:rPr>
        <w:t>——</w:t>
      </w:r>
      <w:r>
        <w:rPr>
          <w:position w:val="2"/>
        </w:rPr>
        <w:t>统计期内企业废弃钢材（包括不能再利用的边角料、切削碎屑）的重量，单位为吨（t）。 </w:t>
      </w:r>
    </w:p>
    <w:p>
      <w:pPr>
        <w:pStyle w:val="BodyText"/>
        <w:spacing w:before="12"/>
        <w:rPr>
          <w:sz w:val="18"/>
        </w:rPr>
      </w:pPr>
    </w:p>
    <w:p>
      <w:pPr>
        <w:pStyle w:val="ListParagraph"/>
        <w:numPr>
          <w:ilvl w:val="1"/>
          <w:numId w:val="6"/>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单位污泥处理综合能耗</w:t>
      </w:r>
    </w:p>
    <w:p>
      <w:pPr>
        <w:pStyle w:val="BodyText"/>
        <w:spacing w:before="6"/>
        <w:rPr>
          <w:rFonts w:ascii="黑体"/>
          <w:sz w:val="13"/>
        </w:rPr>
      </w:pPr>
    </w:p>
    <w:p>
      <w:pPr>
        <w:spacing w:after="0"/>
        <w:rPr>
          <w:rFonts w:ascii="黑体"/>
          <w:sz w:val="13"/>
        </w:rPr>
        <w:sectPr>
          <w:type w:val="continuous"/>
          <w:pgSz w:w="11910" w:h="16840"/>
          <w:pgMar w:top="520" w:bottom="280" w:left="580" w:right="580"/>
        </w:sectPr>
      </w:pPr>
    </w:p>
    <w:p>
      <w:pPr>
        <w:pStyle w:val="BodyText"/>
        <w:spacing w:before="72"/>
        <w:ind w:left="973"/>
      </w:pPr>
      <w:r>
        <w:rPr>
          <w:spacing w:val="-6"/>
        </w:rPr>
        <w:t>单位污泥处理综合能耗，按公式 </w:t>
      </w:r>
      <w:r>
        <w:rPr/>
        <w:t>A.2</w:t>
      </w:r>
      <w:r>
        <w:rPr>
          <w:spacing w:val="-13"/>
        </w:rPr>
        <w:t> 计算：</w:t>
      </w:r>
      <w:r>
        <w:rPr/>
        <w:t> </w:t>
      </w:r>
    </w:p>
    <w:p>
      <w:pPr>
        <w:spacing w:line="159" w:lineRule="exact" w:before="96"/>
        <w:ind w:left="0" w:right="126" w:firstLine="0"/>
        <w:jc w:val="right"/>
        <w:rPr>
          <w:rFonts w:ascii="Cambria Math" w:hAnsi="Cambria Math" w:eastAsia="Cambria Math"/>
          <w:sz w:val="15"/>
        </w:rPr>
      </w:pPr>
      <w:r>
        <w:rPr>
          <w:rFonts w:ascii="Cambria Math" w:hAnsi="Cambria Math" w:eastAsia="Cambria Math"/>
          <w:spacing w:val="-3"/>
          <w:w w:val="110"/>
          <w:position w:val="-6"/>
          <w:sz w:val="18"/>
        </w:rPr>
        <w:t>∑</w:t>
      </w:r>
      <w:r>
        <w:rPr>
          <w:rFonts w:ascii="Cambria Math" w:hAnsi="Cambria Math" w:eastAsia="Cambria Math"/>
          <w:spacing w:val="-3"/>
          <w:w w:val="110"/>
          <w:sz w:val="15"/>
        </w:rPr>
        <w:t>𝑛</w:t>
      </w:r>
    </w:p>
    <w:p>
      <w:pPr>
        <w:pStyle w:val="BodyText"/>
        <w:rPr>
          <w:rFonts w:ascii="Cambria Math"/>
          <w:sz w:val="20"/>
        </w:rPr>
      </w:pPr>
      <w:r>
        <w:rPr/>
        <w:br w:type="column"/>
      </w:r>
      <w:r>
        <w:rPr>
          <w:rFonts w:ascii="Cambria Math"/>
          <w:sz w:val="20"/>
        </w:rPr>
      </w:r>
    </w:p>
    <w:p>
      <w:pPr>
        <w:pStyle w:val="BodyText"/>
        <w:spacing w:before="7"/>
        <w:rPr>
          <w:rFonts w:ascii="Cambria Math"/>
        </w:rPr>
      </w:pPr>
    </w:p>
    <w:p>
      <w:pPr>
        <w:spacing w:line="108" w:lineRule="exact" w:before="0"/>
        <w:ind w:left="-19" w:right="0" w:firstLine="0"/>
        <w:jc w:val="left"/>
        <w:rPr>
          <w:rFonts w:ascii="Cambria Math" w:hAnsi="Cambria Math" w:eastAsia="Cambria Math"/>
          <w:sz w:val="18"/>
        </w:rPr>
      </w:pPr>
      <w:r>
        <w:rPr>
          <w:rFonts w:ascii="Cambria Math" w:hAnsi="Cambria Math" w:eastAsia="Cambria Math"/>
          <w:w w:val="110"/>
          <w:sz w:val="18"/>
        </w:rPr>
        <w:t>(𝑒</w:t>
      </w:r>
      <w:r>
        <w:rPr>
          <w:rFonts w:ascii="Cambria Math" w:hAnsi="Cambria Math" w:eastAsia="Cambria Math"/>
          <w:w w:val="110"/>
          <w:position w:val="-3"/>
          <w:sz w:val="15"/>
        </w:rPr>
        <w:t>𝑖</w:t>
      </w:r>
      <w:r>
        <w:rPr>
          <w:rFonts w:ascii="Cambria Math" w:hAnsi="Cambria Math" w:eastAsia="Cambria Math"/>
          <w:w w:val="110"/>
          <w:sz w:val="18"/>
        </w:rPr>
        <w:t>×𝜌</w:t>
      </w:r>
      <w:r>
        <w:rPr>
          <w:rFonts w:ascii="Cambria Math" w:hAnsi="Cambria Math" w:eastAsia="Cambria Math"/>
          <w:w w:val="110"/>
          <w:position w:val="-3"/>
          <w:sz w:val="15"/>
        </w:rPr>
        <w:t>𝑖</w:t>
      </w:r>
      <w:r>
        <w:rPr>
          <w:rFonts w:ascii="Cambria Math" w:hAnsi="Cambria Math" w:eastAsia="Cambria Math"/>
          <w:w w:val="110"/>
          <w:sz w:val="18"/>
        </w:rPr>
        <w:t>)</w:t>
      </w:r>
    </w:p>
    <w:p>
      <w:pPr>
        <w:spacing w:after="0" w:line="108" w:lineRule="exact"/>
        <w:jc w:val="left"/>
        <w:rPr>
          <w:rFonts w:ascii="Cambria Math" w:hAnsi="Cambria Math" w:eastAsia="Cambria Math"/>
          <w:sz w:val="18"/>
        </w:rPr>
        <w:sectPr>
          <w:type w:val="continuous"/>
          <w:pgSz w:w="11910" w:h="16840"/>
          <w:pgMar w:top="520" w:bottom="280" w:left="580" w:right="580"/>
          <w:cols w:num="2" w:equalWidth="0">
            <w:col w:w="5071" w:space="40"/>
            <w:col w:w="5639"/>
          </w:cols>
        </w:sectPr>
      </w:pPr>
    </w:p>
    <w:p>
      <w:pPr>
        <w:tabs>
          <w:tab w:pos="4196" w:val="left" w:leader="none"/>
        </w:tabs>
        <w:spacing w:line="277" w:lineRule="exact" w:before="0"/>
        <w:ind w:left="973" w:right="0" w:firstLine="0"/>
        <w:jc w:val="left"/>
        <w:rPr>
          <w:rFonts w:ascii="Cambria Math" w:eastAsia="Cambria Math"/>
          <w:sz w:val="26"/>
        </w:rPr>
      </w:pPr>
      <w:r>
        <w:rPr>
          <w:w w:val="100"/>
          <w:sz w:val="21"/>
        </w:rPr>
        <w:t> </w:t>
      </w:r>
      <w:r>
        <w:rPr>
          <w:sz w:val="21"/>
        </w:rPr>
        <w:tab/>
      </w:r>
      <w:r>
        <w:rPr>
          <w:rFonts w:ascii="Cambria Math" w:eastAsia="Cambria Math"/>
          <w:sz w:val="26"/>
        </w:rPr>
        <w:t>𝐸</w:t>
      </w:r>
      <w:r>
        <w:rPr>
          <w:rFonts w:ascii="Cambria Math" w:eastAsia="Cambria Math"/>
          <w:spacing w:val="24"/>
          <w:sz w:val="26"/>
        </w:rPr>
        <w:t> </w:t>
      </w:r>
      <w:r>
        <w:rPr>
          <w:rFonts w:ascii="Cambria Math" w:eastAsia="Cambria Math"/>
          <w:spacing w:val="-19"/>
          <w:sz w:val="26"/>
        </w:rPr>
        <w:t>=</w:t>
      </w:r>
    </w:p>
    <w:p>
      <w:pPr>
        <w:pStyle w:val="BodyText"/>
        <w:spacing w:before="193"/>
        <w:ind w:left="973"/>
      </w:pPr>
      <w:r>
        <w:rPr/>
        <w:t>式中： </w:t>
      </w:r>
    </w:p>
    <w:p>
      <w:pPr>
        <w:spacing w:line="152" w:lineRule="exact" w:before="0"/>
        <w:ind w:left="159" w:right="0" w:firstLine="0"/>
        <w:jc w:val="left"/>
        <w:rPr>
          <w:rFonts w:ascii="Cambria Math" w:eastAsia="Cambria Math"/>
          <w:sz w:val="15"/>
        </w:rPr>
      </w:pPr>
      <w:r>
        <w:rPr/>
        <w:br w:type="column"/>
      </w:r>
      <w:r>
        <w:rPr>
          <w:rFonts w:ascii="Cambria Math" w:eastAsia="Cambria Math"/>
          <w:w w:val="110"/>
          <w:sz w:val="15"/>
        </w:rPr>
        <w:t>𝑖=1</w:t>
      </w:r>
    </w:p>
    <w:p>
      <w:pPr>
        <w:spacing w:before="28"/>
        <w:ind w:left="474" w:right="0" w:firstLine="0"/>
        <w:jc w:val="left"/>
        <w:rPr>
          <w:rFonts w:ascii="Cambria Math" w:eastAsia="Cambria Math"/>
          <w:sz w:val="18"/>
        </w:rPr>
      </w:pPr>
      <w:r>
        <w:rPr/>
        <w:pict>
          <v:line style="position:absolute;mso-position-horizontal-relative:page;mso-position-vertical-relative:paragraph;z-index:251661312" from="264.410004pt,-.428236pt" to="314.570004pt,-.428236pt" stroked="true" strokeweight=".84pt" strokecolor="#000000">
            <v:stroke dashstyle="solid"/>
            <w10:wrap type="none"/>
          </v:line>
        </w:pict>
      </w:r>
      <w:r>
        <w:rPr>
          <w:rFonts w:ascii="Cambria Math" w:eastAsia="Cambria Math"/>
          <w:sz w:val="18"/>
        </w:rPr>
        <w:t>𝑃</w:t>
      </w:r>
    </w:p>
    <w:p>
      <w:pPr>
        <w:pStyle w:val="BodyText"/>
        <w:spacing w:before="9"/>
        <w:ind w:left="405"/>
      </w:pPr>
      <w:r>
        <w:rPr/>
        <w:br w:type="column"/>
      </w:r>
      <w:r>
        <w:rPr>
          <w:spacing w:val="-60"/>
          <w:w w:val="100"/>
        </w:rPr>
        <w:t> </w:t>
      </w:r>
      <w:r>
        <w:rPr/>
        <w:t>............................... （A.2） </w:t>
      </w:r>
    </w:p>
    <w:p>
      <w:pPr>
        <w:spacing w:after="0"/>
        <w:sectPr>
          <w:type w:val="continuous"/>
          <w:pgSz w:w="11910" w:h="16840"/>
          <w:pgMar w:top="520" w:bottom="280" w:left="580" w:right="580"/>
          <w:cols w:num="3" w:equalWidth="0">
            <w:col w:w="4636" w:space="40"/>
            <w:col w:w="591" w:space="39"/>
            <w:col w:w="5444"/>
          </w:cols>
        </w:sectPr>
      </w:pPr>
    </w:p>
    <w:p>
      <w:pPr>
        <w:pStyle w:val="BodyText"/>
        <w:spacing w:before="4"/>
        <w:ind w:left="992"/>
      </w:pPr>
      <w:r>
        <w:rPr>
          <w:rFonts w:ascii="Times New Roman" w:hAnsi="Times New Roman" w:eastAsia="Times New Roman"/>
          <w:i/>
        </w:rPr>
        <w:t>E </w:t>
      </w:r>
      <w:r>
        <w:rPr>
          <w:rFonts w:ascii="Times New Roman" w:hAnsi="Times New Roman" w:eastAsia="Times New Roman"/>
        </w:rPr>
        <w:t>——</w:t>
      </w:r>
      <w:r>
        <w:rPr/>
        <w:t>统计期内单位污泥处理综合能耗，单位为千克标煤每吨（kgce/t）； </w:t>
      </w:r>
    </w:p>
    <w:p>
      <w:pPr>
        <w:pStyle w:val="BodyText"/>
        <w:spacing w:line="266" w:lineRule="exact" w:before="2"/>
        <w:ind w:left="992"/>
      </w:pPr>
      <w:r>
        <w:rPr>
          <w:rFonts w:ascii="Times New Roman" w:hAnsi="Times New Roman" w:eastAsia="Times New Roman"/>
          <w:i/>
        </w:rPr>
        <w:t>n </w:t>
      </w:r>
      <w:r>
        <w:rPr>
          <w:rFonts w:ascii="Times New Roman" w:hAnsi="Times New Roman" w:eastAsia="Times New Roman"/>
        </w:rPr>
        <w:t>——</w:t>
      </w:r>
      <w:r>
        <w:rPr/>
        <w:t>统计期内该产品消耗的能源种数； </w:t>
      </w:r>
    </w:p>
    <w:p>
      <w:pPr>
        <w:pStyle w:val="BodyText"/>
        <w:spacing w:line="273" w:lineRule="exact"/>
        <w:ind w:left="992"/>
      </w:pPr>
      <w:r>
        <w:rPr>
          <w:rFonts w:ascii="Times New Roman" w:hAnsi="Times New Roman" w:eastAsia="Times New Roman"/>
          <w:i/>
          <w:position w:val="2"/>
        </w:rPr>
        <w:t>e</w:t>
      </w:r>
      <w:r>
        <w:rPr>
          <w:rFonts w:ascii="Times New Roman" w:hAnsi="Times New Roman" w:eastAsia="Times New Roman"/>
          <w:i/>
          <w:sz w:val="14"/>
        </w:rPr>
        <w:t>i</w:t>
      </w:r>
      <w:r>
        <w:rPr>
          <w:rFonts w:ascii="Times New Roman" w:hAnsi="Times New Roman" w:eastAsia="Times New Roman"/>
          <w:i/>
          <w:position w:val="2"/>
          <w:sz w:val="14"/>
        </w:rPr>
        <w:t> </w:t>
      </w:r>
      <w:r>
        <w:rPr>
          <w:rFonts w:ascii="Times New Roman" w:hAnsi="Times New Roman" w:eastAsia="Times New Roman"/>
          <w:position w:val="2"/>
        </w:rPr>
        <w:t>——</w:t>
      </w:r>
      <w:r>
        <w:rPr>
          <w:spacing w:val="-7"/>
          <w:position w:val="2"/>
        </w:rPr>
        <w:t>统计期内污泥处理消耗的第 </w:t>
      </w:r>
      <w:r>
        <w:rPr>
          <w:i/>
          <w:position w:val="2"/>
          <w:sz w:val="22"/>
        </w:rPr>
        <w:t>i</w:t>
      </w:r>
      <w:r>
        <w:rPr>
          <w:i/>
          <w:spacing w:val="-60"/>
          <w:position w:val="2"/>
          <w:sz w:val="22"/>
        </w:rPr>
        <w:t> </w:t>
      </w:r>
      <w:r>
        <w:rPr>
          <w:spacing w:val="-3"/>
          <w:position w:val="2"/>
        </w:rPr>
        <w:t>种能源实物量； </w:t>
      </w:r>
    </w:p>
    <w:p>
      <w:pPr>
        <w:spacing w:line="277" w:lineRule="exact" w:before="0"/>
        <w:ind w:left="992" w:right="0" w:firstLine="0"/>
        <w:jc w:val="left"/>
        <w:rPr>
          <w:sz w:val="21"/>
        </w:rPr>
      </w:pPr>
      <w:r>
        <w:rPr>
          <w:rFonts w:ascii="Times New Roman" w:hAnsi="Times New Roman" w:eastAsia="Times New Roman"/>
          <w:i/>
          <w:position w:val="2"/>
          <w:sz w:val="21"/>
        </w:rPr>
        <w:t>ρ</w:t>
      </w:r>
      <w:r>
        <w:rPr>
          <w:rFonts w:ascii="Times New Roman" w:hAnsi="Times New Roman" w:eastAsia="Times New Roman"/>
          <w:i/>
          <w:sz w:val="14"/>
        </w:rPr>
        <w:t>i</w:t>
      </w:r>
      <w:r>
        <w:rPr>
          <w:rFonts w:ascii="Times New Roman" w:hAnsi="Times New Roman" w:eastAsia="Times New Roman"/>
          <w:i/>
          <w:position w:val="2"/>
          <w:sz w:val="14"/>
        </w:rPr>
        <w:t> </w:t>
      </w:r>
      <w:r>
        <w:rPr>
          <w:rFonts w:ascii="Times New Roman" w:hAnsi="Times New Roman" w:eastAsia="Times New Roman"/>
          <w:position w:val="2"/>
          <w:sz w:val="21"/>
        </w:rPr>
        <w:t>——</w:t>
      </w:r>
      <w:r>
        <w:rPr>
          <w:spacing w:val="-12"/>
          <w:position w:val="2"/>
          <w:sz w:val="21"/>
        </w:rPr>
        <w:t>统计期内第 </w:t>
      </w:r>
      <w:r>
        <w:rPr>
          <w:i/>
          <w:position w:val="2"/>
          <w:sz w:val="22"/>
        </w:rPr>
        <w:t>i</w:t>
      </w:r>
      <w:r>
        <w:rPr>
          <w:i/>
          <w:spacing w:val="-59"/>
          <w:position w:val="2"/>
          <w:sz w:val="22"/>
        </w:rPr>
        <w:t> </w:t>
      </w:r>
      <w:r>
        <w:rPr>
          <w:spacing w:val="-3"/>
          <w:position w:val="2"/>
          <w:sz w:val="21"/>
        </w:rPr>
        <w:t>种能源的折标系数；</w:t>
      </w:r>
      <w:r>
        <w:rPr>
          <w:position w:val="2"/>
          <w:sz w:val="21"/>
        </w:rPr>
        <w:t> </w:t>
      </w:r>
    </w:p>
    <w:p>
      <w:pPr>
        <w:pStyle w:val="BodyText"/>
        <w:spacing w:before="1"/>
        <w:ind w:left="992"/>
      </w:pPr>
      <w:r>
        <w:rPr>
          <w:rFonts w:ascii="Times New Roman" w:hAnsi="Times New Roman" w:eastAsia="Times New Roman"/>
          <w:i/>
        </w:rPr>
        <w:t>P </w:t>
      </w:r>
      <w:r>
        <w:rPr>
          <w:rFonts w:ascii="Times New Roman" w:hAnsi="Times New Roman" w:eastAsia="Times New Roman"/>
        </w:rPr>
        <w:t>——</w:t>
      </w:r>
      <w:r>
        <w:rPr/>
        <w:t>统计期内污泥处理量，单位为吨（t）。 </w:t>
      </w:r>
    </w:p>
    <w:p>
      <w:pPr>
        <w:pStyle w:val="BodyText"/>
        <w:spacing w:before="1"/>
        <w:rPr>
          <w:sz w:val="19"/>
        </w:rPr>
      </w:pPr>
    </w:p>
    <w:p>
      <w:pPr>
        <w:pStyle w:val="ListParagraph"/>
        <w:numPr>
          <w:ilvl w:val="1"/>
          <w:numId w:val="6"/>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单位污泥处理综合能耗基准值修正</w:t>
      </w:r>
    </w:p>
    <w:p>
      <w:pPr>
        <w:pStyle w:val="BodyText"/>
        <w:spacing w:before="11"/>
        <w:rPr>
          <w:rFonts w:ascii="黑体"/>
          <w:sz w:val="18"/>
        </w:rPr>
      </w:pPr>
    </w:p>
    <w:p>
      <w:pPr>
        <w:pStyle w:val="BodyText"/>
        <w:spacing w:before="1"/>
        <w:ind w:left="973"/>
      </w:pPr>
      <w:r>
        <w:rPr/>
        <w:t>单位污泥处理综合能耗基准值修正，按公式 A.3 计算： </w:t>
      </w:r>
    </w:p>
    <w:p>
      <w:pPr>
        <w:pStyle w:val="BodyText"/>
        <w:spacing w:before="3"/>
        <w:rPr>
          <w:sz w:val="12"/>
        </w:rPr>
      </w:pPr>
    </w:p>
    <w:p>
      <w:pPr>
        <w:spacing w:after="0"/>
        <w:rPr>
          <w:sz w:val="12"/>
        </w:rPr>
        <w:sectPr>
          <w:type w:val="continuous"/>
          <w:pgSz w:w="11910" w:h="16840"/>
          <w:pgMar w:top="520" w:bottom="280" w:left="580" w:right="580"/>
        </w:sectPr>
      </w:pPr>
    </w:p>
    <w:p>
      <w:pPr>
        <w:spacing w:before="221"/>
        <w:ind w:left="0" w:right="0" w:firstLine="0"/>
        <w:jc w:val="right"/>
        <w:rPr>
          <w:rFonts w:ascii="Symbol" w:hAnsi="Symbol"/>
          <w:sz w:val="24"/>
        </w:rPr>
      </w:pPr>
      <w:r>
        <w:rPr>
          <w:rFonts w:ascii="Times New Roman" w:hAnsi="Times New Roman"/>
          <w:i/>
          <w:sz w:val="24"/>
        </w:rPr>
        <w:t>M </w:t>
      </w:r>
      <w:r>
        <w:rPr>
          <w:rFonts w:ascii="Symbol" w:hAnsi="Symbol"/>
          <w:sz w:val="24"/>
        </w:rPr>
        <w:t></w:t>
      </w:r>
      <w:r>
        <w:rPr>
          <w:rFonts w:ascii="Times New Roman" w:hAnsi="Times New Roman"/>
          <w:sz w:val="24"/>
        </w:rPr>
        <w:t> 55</w:t>
      </w:r>
      <w:r>
        <w:rPr>
          <w:rFonts w:ascii="Symbol" w:hAnsi="Symbol"/>
          <w:sz w:val="24"/>
        </w:rPr>
        <w:t></w:t>
      </w:r>
    </w:p>
    <w:p>
      <w:pPr>
        <w:spacing w:before="89"/>
        <w:ind w:left="1" w:right="2" w:firstLine="0"/>
        <w:jc w:val="center"/>
        <w:rPr>
          <w:rFonts w:ascii="Times New Roman"/>
          <w:sz w:val="14"/>
        </w:rPr>
      </w:pPr>
      <w:r>
        <w:rPr/>
        <w:br w:type="column"/>
      </w:r>
      <w:r>
        <w:rPr>
          <w:rFonts w:ascii="Times New Roman"/>
          <w:i/>
          <w:sz w:val="24"/>
        </w:rPr>
        <w:t>k</w:t>
      </w:r>
      <w:r>
        <w:rPr>
          <w:rFonts w:ascii="Times New Roman"/>
          <w:position w:val="-5"/>
          <w:sz w:val="14"/>
        </w:rPr>
        <w:t>1</w:t>
      </w:r>
    </w:p>
    <w:p>
      <w:pPr>
        <w:pStyle w:val="BodyText"/>
        <w:spacing w:line="20" w:lineRule="exact"/>
        <w:ind w:left="-9" w:right="-87"/>
        <w:rPr>
          <w:rFonts w:ascii="Times New Roman"/>
          <w:sz w:val="2"/>
        </w:rPr>
      </w:pPr>
      <w:r>
        <w:rPr>
          <w:rFonts w:ascii="Times New Roman"/>
          <w:sz w:val="2"/>
        </w:rPr>
        <w:pict>
          <v:group style="width:22.9pt;height:.5pt;mso-position-horizontal-relative:char;mso-position-vertical-relative:line" coordorigin="0,0" coordsize="458,10">
            <v:line style="position:absolute" from="0,5" to="458,5" stroked="true" strokeweight=".497601pt" strokecolor="#000000">
              <v:stroke dashstyle="solid"/>
            </v:line>
          </v:group>
        </w:pict>
      </w:r>
      <w:r>
        <w:rPr>
          <w:rFonts w:ascii="Times New Roman"/>
          <w:sz w:val="2"/>
        </w:rPr>
      </w:r>
    </w:p>
    <w:p>
      <w:pPr>
        <w:pStyle w:val="Heading2"/>
        <w:jc w:val="center"/>
        <w:rPr>
          <w:rFonts w:ascii="Times New Roman"/>
        </w:rPr>
      </w:pPr>
      <w:r>
        <w:rPr>
          <w:rFonts w:ascii="Times New Roman"/>
        </w:rPr>
        <w:t>80%</w:t>
      </w:r>
    </w:p>
    <w:p>
      <w:pPr>
        <w:spacing w:line="184" w:lineRule="auto" w:before="109"/>
        <w:ind w:left="3" w:right="0" w:firstLine="0"/>
        <w:jc w:val="left"/>
        <w:rPr>
          <w:rFonts w:ascii="Times New Roman" w:hAnsi="Times New Roman"/>
          <w:sz w:val="24"/>
        </w:rPr>
      </w:pPr>
      <w:r>
        <w:rPr/>
        <w:br w:type="column"/>
      </w:r>
      <w:r>
        <w:rPr>
          <w:rFonts w:ascii="Symbol" w:hAnsi="Symbol"/>
          <w:position w:val="-14"/>
          <w:sz w:val="24"/>
        </w:rPr>
        <w:t></w:t>
      </w:r>
      <w:r>
        <w:rPr>
          <w:rFonts w:ascii="Times New Roman" w:hAnsi="Times New Roman"/>
          <w:spacing w:val="-25"/>
          <w:position w:val="-14"/>
          <w:sz w:val="24"/>
        </w:rPr>
        <w:t> </w:t>
      </w:r>
      <w:r>
        <w:rPr>
          <w:rFonts w:ascii="Times New Roman" w:hAnsi="Times New Roman"/>
          <w:spacing w:val="-8"/>
          <w:sz w:val="24"/>
        </w:rPr>
        <w:t>10%</w:t>
      </w:r>
    </w:p>
    <w:p>
      <w:pPr>
        <w:spacing w:line="268" w:lineRule="exact" w:before="0"/>
        <w:ind w:left="291" w:right="0" w:firstLine="0"/>
        <w:jc w:val="left"/>
        <w:rPr>
          <w:rFonts w:ascii="Times New Roman"/>
          <w:sz w:val="14"/>
        </w:rPr>
      </w:pPr>
      <w:r>
        <w:rPr/>
        <w:pict>
          <v:line style="position:absolute;mso-position-horizontal-relative:page;mso-position-vertical-relative:paragraph;z-index:-253917184" from="304.767731pt,-3.391796pt" to="326.883764pt,-3.391796pt" stroked="true" strokeweight=".497601pt" strokecolor="#000000">
            <v:stroke dashstyle="solid"/>
            <w10:wrap type="none"/>
          </v:line>
        </w:pict>
      </w:r>
      <w:r>
        <w:rPr>
          <w:rFonts w:ascii="Times New Roman"/>
          <w:i/>
          <w:spacing w:val="4"/>
          <w:sz w:val="24"/>
        </w:rPr>
        <w:t>k</w:t>
      </w:r>
      <w:r>
        <w:rPr>
          <w:rFonts w:ascii="Times New Roman"/>
          <w:spacing w:val="4"/>
          <w:position w:val="-5"/>
          <w:sz w:val="14"/>
        </w:rPr>
        <w:t>2</w:t>
      </w:r>
    </w:p>
    <w:p>
      <w:pPr>
        <w:pStyle w:val="BodyText"/>
        <w:spacing w:before="9"/>
        <w:rPr>
          <w:rFonts w:ascii="Times New Roman"/>
        </w:rPr>
      </w:pPr>
      <w:r>
        <w:rPr/>
        <w:br w:type="column"/>
      </w:r>
      <w:r>
        <w:rPr>
          <w:rFonts w:ascii="Times New Roman"/>
        </w:rPr>
      </w:r>
    </w:p>
    <w:p>
      <w:pPr>
        <w:pStyle w:val="BodyText"/>
        <w:ind w:left="85"/>
      </w:pPr>
      <w:r>
        <w:rPr>
          <w:rFonts w:ascii="黑体" w:eastAsia="黑体" w:hint="eastAsia"/>
        </w:rPr>
        <w:t>............................ </w:t>
      </w:r>
      <w:r>
        <w:rPr/>
        <w:t>（A.3） </w:t>
      </w:r>
    </w:p>
    <w:p>
      <w:pPr>
        <w:spacing w:after="0"/>
        <w:sectPr>
          <w:type w:val="continuous"/>
          <w:pgSz w:w="11910" w:h="16840"/>
          <w:pgMar w:top="520" w:bottom="280" w:left="580" w:right="580"/>
          <w:cols w:num="4" w:equalWidth="0">
            <w:col w:w="4818" w:space="40"/>
            <w:col w:w="445" w:space="39"/>
            <w:col w:w="607" w:space="39"/>
            <w:col w:w="4762"/>
          </w:cols>
        </w:sectPr>
      </w:pPr>
    </w:p>
    <w:p>
      <w:pPr>
        <w:pStyle w:val="BodyText"/>
        <w:spacing w:before="2"/>
        <w:rPr>
          <w:sz w:val="14"/>
        </w:rPr>
      </w:pPr>
    </w:p>
    <w:p>
      <w:pPr>
        <w:spacing w:before="81"/>
        <w:ind w:left="992" w:right="0" w:firstLine="0"/>
        <w:jc w:val="left"/>
        <w:rPr>
          <w:i/>
          <w:sz w:val="22"/>
        </w:rPr>
      </w:pPr>
      <w:r>
        <w:rPr>
          <w:sz w:val="21"/>
        </w:rPr>
        <w:t>式中：</w:t>
      </w:r>
      <w:r>
        <w:rPr>
          <w:i/>
          <w:w w:val="96"/>
          <w:sz w:val="22"/>
        </w:rPr>
        <w:t> </w:t>
      </w:r>
    </w:p>
    <w:p>
      <w:pPr>
        <w:pStyle w:val="BodyText"/>
        <w:spacing w:before="5"/>
        <w:ind w:left="992" w:right="2113"/>
      </w:pPr>
      <w:r>
        <w:rPr>
          <w:rFonts w:ascii="Times New Roman" w:hAnsi="Times New Roman" w:eastAsia="Times New Roman"/>
          <w:i/>
        </w:rPr>
        <w:t>M</w:t>
      </w:r>
      <w:r>
        <w:rPr>
          <w:rFonts w:ascii="Times New Roman" w:hAnsi="Times New Roman" w:eastAsia="Times New Roman"/>
          <w:i/>
          <w:spacing w:val="11"/>
        </w:rPr>
        <w:t> </w:t>
      </w:r>
      <w:r>
        <w:rPr>
          <w:rFonts w:ascii="Times New Roman" w:hAnsi="Times New Roman" w:eastAsia="Times New Roman"/>
        </w:rPr>
        <w:t>——</w:t>
      </w:r>
      <w:r>
        <w:rPr>
          <w:spacing w:val="-3"/>
        </w:rPr>
        <w:t>修正后的单位污泥处理综合能耗基准值，单位为千克标煤每吨</w:t>
      </w:r>
      <w:r>
        <w:rPr/>
        <w:t>（kgce/t）； </w:t>
      </w:r>
      <w:r>
        <w:rPr>
          <w:rFonts w:ascii="Times New Roman" w:hAnsi="Times New Roman" w:eastAsia="Times New Roman"/>
          <w:i/>
          <w:position w:val="2"/>
        </w:rPr>
        <w:t>k</w:t>
      </w:r>
      <w:r>
        <w:rPr>
          <w:rFonts w:ascii="Times New Roman" w:hAnsi="Times New Roman" w:eastAsia="Times New Roman"/>
          <w:i/>
          <w:sz w:val="14"/>
        </w:rPr>
        <w:t>1</w:t>
      </w:r>
      <w:r>
        <w:rPr>
          <w:rFonts w:ascii="Times New Roman" w:hAnsi="Times New Roman" w:eastAsia="Times New Roman"/>
          <w:i/>
          <w:spacing w:val="2"/>
          <w:position w:val="2"/>
          <w:sz w:val="14"/>
        </w:rPr>
        <w:t> </w:t>
      </w:r>
      <w:r>
        <w:rPr>
          <w:rFonts w:ascii="Times New Roman" w:hAnsi="Times New Roman" w:eastAsia="Times New Roman"/>
          <w:position w:val="2"/>
        </w:rPr>
        <w:t>——</w:t>
      </w:r>
      <w:r>
        <w:rPr>
          <w:spacing w:val="-3"/>
          <w:position w:val="2"/>
        </w:rPr>
        <w:t>统计期内进料污泥的平均含水率，单位为百分比（</w:t>
      </w:r>
      <w:r>
        <w:rPr>
          <w:rFonts w:ascii="Times New Roman" w:hAnsi="Times New Roman" w:eastAsia="Times New Roman"/>
          <w:spacing w:val="-3"/>
          <w:position w:val="2"/>
        </w:rPr>
        <w:t>%</w:t>
      </w:r>
      <w:r>
        <w:rPr>
          <w:spacing w:val="-3"/>
          <w:position w:val="2"/>
        </w:rPr>
        <w:t>）；</w:t>
      </w:r>
      <w:r>
        <w:rPr>
          <w:position w:val="2"/>
        </w:rPr>
        <w:t> </w:t>
      </w:r>
    </w:p>
    <w:p>
      <w:pPr>
        <w:pStyle w:val="BodyText"/>
        <w:spacing w:before="6"/>
        <w:ind w:left="992"/>
      </w:pPr>
      <w:r>
        <w:rPr>
          <w:rFonts w:ascii="Times New Roman" w:hAnsi="Times New Roman" w:eastAsia="Times New Roman"/>
          <w:i/>
          <w:position w:val="2"/>
        </w:rPr>
        <w:t>k</w:t>
      </w:r>
      <w:r>
        <w:rPr>
          <w:rFonts w:ascii="Times New Roman" w:hAnsi="Times New Roman" w:eastAsia="Times New Roman"/>
          <w:i/>
          <w:sz w:val="14"/>
        </w:rPr>
        <w:t>2</w:t>
      </w:r>
      <w:r>
        <w:rPr>
          <w:rFonts w:ascii="Times New Roman" w:hAnsi="Times New Roman" w:eastAsia="Times New Roman"/>
          <w:i/>
          <w:spacing w:val="10"/>
          <w:position w:val="2"/>
          <w:sz w:val="14"/>
        </w:rPr>
        <w:t>   </w:t>
      </w:r>
      <w:r>
        <w:rPr>
          <w:rFonts w:ascii="Times New Roman" w:hAnsi="Times New Roman" w:eastAsia="Times New Roman"/>
          <w:position w:val="2"/>
        </w:rPr>
        <w:t>——</w:t>
      </w:r>
      <w:r>
        <w:rPr>
          <w:spacing w:val="-3"/>
          <w:position w:val="2"/>
        </w:rPr>
        <w:t>统计期内碳化污泥的平均含水率，单位为百分比（</w:t>
      </w:r>
      <w:r>
        <w:rPr>
          <w:rFonts w:ascii="Times New Roman" w:hAnsi="Times New Roman" w:eastAsia="Times New Roman"/>
          <w:spacing w:val="-3"/>
          <w:position w:val="2"/>
        </w:rPr>
        <w:t>%</w:t>
      </w:r>
      <w:r>
        <w:rPr>
          <w:spacing w:val="-3"/>
          <w:position w:val="2"/>
        </w:rPr>
        <w:t>）。</w:t>
      </w:r>
      <w:r>
        <w:rPr>
          <w:position w:val="2"/>
        </w:rPr>
        <w:t> </w:t>
      </w:r>
    </w:p>
    <w:p>
      <w:pPr>
        <w:pStyle w:val="BodyText"/>
        <w:rPr>
          <w:sz w:val="19"/>
        </w:rPr>
      </w:pPr>
    </w:p>
    <w:p>
      <w:pPr>
        <w:pStyle w:val="ListParagraph"/>
        <w:numPr>
          <w:ilvl w:val="1"/>
          <w:numId w:val="6"/>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固体废物回收率</w:t>
      </w:r>
    </w:p>
    <w:p>
      <w:pPr>
        <w:pStyle w:val="BodyText"/>
        <w:spacing w:before="1"/>
        <w:rPr>
          <w:rFonts w:ascii="黑体"/>
          <w:sz w:val="19"/>
        </w:rPr>
      </w:pPr>
    </w:p>
    <w:p>
      <w:pPr>
        <w:pStyle w:val="BodyText"/>
        <w:ind w:left="973"/>
      </w:pPr>
      <w:r>
        <w:rPr/>
        <w:t>固体废物回收率，按公式 A.4 计算： </w:t>
      </w:r>
    </w:p>
    <w:p>
      <w:pPr>
        <w:spacing w:after="0"/>
        <w:sectPr>
          <w:type w:val="continuous"/>
          <w:pgSz w:w="11910" w:h="16840"/>
          <w:pgMar w:top="520" w:bottom="280" w:left="580" w:right="580"/>
        </w:sectPr>
      </w:pPr>
    </w:p>
    <w:p>
      <w:pPr>
        <w:tabs>
          <w:tab w:pos="4081" w:val="left" w:leader="none"/>
        </w:tabs>
        <w:spacing w:before="179"/>
        <w:ind w:left="973" w:right="0" w:firstLine="0"/>
        <w:jc w:val="left"/>
        <w:rPr>
          <w:rFonts w:ascii="Cambria Math" w:eastAsia="Cambria Math"/>
          <w:sz w:val="18"/>
        </w:rPr>
      </w:pPr>
      <w:r>
        <w:rPr>
          <w:w w:val="100"/>
          <w:sz w:val="21"/>
        </w:rPr>
        <w:t> </w:t>
      </w:r>
      <w:r>
        <w:rPr>
          <w:sz w:val="21"/>
        </w:rPr>
        <w:tab/>
      </w:r>
      <w:r>
        <w:rPr>
          <w:rFonts w:ascii="Cambria Math" w:eastAsia="Cambria Math"/>
          <w:spacing w:val="-108"/>
          <w:w w:val="99"/>
          <w:sz w:val="26"/>
        </w:rPr>
        <w:t>𝑉</w:t>
      </w:r>
      <w:r>
        <w:rPr>
          <w:rFonts w:ascii="Cambria Math" w:eastAsia="Cambria Math"/>
          <w:spacing w:val="-75"/>
          <w:w w:val="109"/>
          <w:position w:val="-4"/>
          <w:sz w:val="18"/>
        </w:rPr>
        <w:t>�</w:t>
      </w:r>
      <w:r>
        <w:rPr>
          <w:rFonts w:ascii="Cambria Math" w:eastAsia="Cambria Math"/>
          <w:spacing w:val="-69"/>
          <w:w w:val="109"/>
          <w:position w:val="-4"/>
          <w:sz w:val="18"/>
        </w:rPr>
        <w:t>�</w:t>
      </w:r>
    </w:p>
    <w:p>
      <w:pPr>
        <w:tabs>
          <w:tab w:pos="4671" w:val="left" w:leader="dot"/>
        </w:tabs>
        <w:spacing w:line="331" w:lineRule="exact" w:before="105"/>
        <w:ind w:left="47" w:right="0" w:firstLine="0"/>
        <w:jc w:val="left"/>
        <w:rPr>
          <w:sz w:val="21"/>
        </w:rPr>
      </w:pPr>
      <w:r>
        <w:rPr/>
        <w:br w:type="column"/>
      </w:r>
      <w:r>
        <w:rPr>
          <w:rFonts w:ascii="Cambria Math" w:hAnsi="Cambria Math" w:eastAsia="Cambria Math"/>
          <w:sz w:val="26"/>
        </w:rPr>
        <w:t>= </w:t>
      </w:r>
      <w:r>
        <w:rPr>
          <w:rFonts w:ascii="Cambria Math" w:hAnsi="Cambria Math" w:eastAsia="Cambria Math"/>
          <w:position w:val="15"/>
          <w:sz w:val="26"/>
          <w:u w:val="single"/>
        </w:rPr>
        <w:t> </w:t>
      </w:r>
      <w:r>
        <w:rPr>
          <w:rFonts w:ascii="Cambria Math" w:hAnsi="Cambria Math" w:eastAsia="Cambria Math"/>
          <w:position w:val="15"/>
          <w:sz w:val="18"/>
          <w:u w:val="single"/>
        </w:rPr>
        <w:t>𝑀</w:t>
      </w:r>
      <w:r>
        <w:rPr>
          <w:rFonts w:ascii="Cambria Math" w:hAnsi="Cambria Math" w:eastAsia="Cambria Math"/>
          <w:position w:val="12"/>
          <w:sz w:val="15"/>
          <w:u w:val="single"/>
        </w:rPr>
        <w:t>ℎ</w:t>
      </w:r>
      <w:r>
        <w:rPr>
          <w:rFonts w:ascii="Cambria Math" w:hAnsi="Cambria Math" w:eastAsia="Cambria Math"/>
          <w:spacing w:val="-3"/>
          <w:position w:val="12"/>
          <w:sz w:val="15"/>
        </w:rPr>
        <w:t> </w:t>
      </w:r>
      <w:r>
        <w:rPr>
          <w:rFonts w:ascii="Times New Roman" w:hAnsi="Times New Roman" w:eastAsia="Times New Roman"/>
          <w:sz w:val="26"/>
        </w:rPr>
        <w:t>×</w:t>
      </w:r>
      <w:r>
        <w:rPr>
          <w:rFonts w:ascii="Times New Roman" w:hAnsi="Times New Roman" w:eastAsia="Times New Roman"/>
          <w:spacing w:val="-28"/>
          <w:sz w:val="26"/>
        </w:rPr>
        <w:t> </w:t>
      </w:r>
      <w:r>
        <w:rPr>
          <w:rFonts w:ascii="Times New Roman" w:hAnsi="Times New Roman" w:eastAsia="Times New Roman"/>
          <w:sz w:val="26"/>
        </w:rPr>
        <w:t>100%</w:t>
        <w:tab/>
      </w:r>
      <w:r>
        <w:rPr>
          <w:sz w:val="21"/>
        </w:rPr>
        <w:t>（A.4） </w:t>
      </w:r>
    </w:p>
    <w:p>
      <w:pPr>
        <w:spacing w:line="170" w:lineRule="auto" w:before="0"/>
        <w:ind w:left="335" w:right="0" w:firstLine="0"/>
        <w:jc w:val="left"/>
        <w:rPr>
          <w:rFonts w:ascii="Cambria Math" w:eastAsia="Cambria Math"/>
          <w:sz w:val="15"/>
        </w:rPr>
      </w:pPr>
      <w:r>
        <w:rPr>
          <w:rFonts w:ascii="Cambria Math" w:eastAsia="Cambria Math"/>
          <w:w w:val="110"/>
          <w:sz w:val="18"/>
        </w:rPr>
        <w:t>𝑀</w:t>
      </w:r>
      <w:r>
        <w:rPr>
          <w:rFonts w:ascii="Cambria Math" w:eastAsia="Cambria Math"/>
          <w:w w:val="110"/>
          <w:position w:val="-3"/>
          <w:sz w:val="15"/>
        </w:rPr>
        <w:t>𝑖</w:t>
      </w:r>
    </w:p>
    <w:p>
      <w:pPr>
        <w:spacing w:after="0" w:line="170" w:lineRule="auto"/>
        <w:jc w:val="left"/>
        <w:rPr>
          <w:rFonts w:ascii="Cambria Math" w:eastAsia="Cambria Math"/>
          <w:sz w:val="15"/>
        </w:rPr>
        <w:sectPr>
          <w:type w:val="continuous"/>
          <w:pgSz w:w="11910" w:h="16840"/>
          <w:pgMar w:top="520" w:bottom="280" w:left="580" w:right="580"/>
          <w:cols w:num="2" w:equalWidth="0">
            <w:col w:w="4321" w:space="40"/>
            <w:col w:w="6389"/>
          </w:cols>
        </w:sectPr>
      </w:pPr>
    </w:p>
    <w:p>
      <w:pPr>
        <w:pStyle w:val="BodyText"/>
        <w:spacing w:before="101"/>
        <w:ind w:left="973"/>
      </w:pPr>
      <w:r>
        <w:rPr/>
        <w:t>式中： </w:t>
      </w:r>
    </w:p>
    <w:p>
      <w:pPr>
        <w:pStyle w:val="BodyText"/>
        <w:spacing w:before="1"/>
        <w:ind w:left="992"/>
      </w:pPr>
      <w:r>
        <w:rPr>
          <w:rFonts w:ascii="Times New Roman" w:hAnsi="Times New Roman" w:eastAsia="Times New Roman"/>
          <w:i/>
          <w:position w:val="2"/>
        </w:rPr>
        <w:t>V</w:t>
      </w:r>
      <w:r>
        <w:rPr>
          <w:rFonts w:ascii="Times New Roman" w:hAnsi="Times New Roman" w:eastAsia="Times New Roman"/>
          <w:i/>
          <w:sz w:val="14"/>
        </w:rPr>
        <w:t>k</w:t>
      </w:r>
      <w:r>
        <w:rPr>
          <w:rFonts w:ascii="Times New Roman" w:hAnsi="Times New Roman" w:eastAsia="Times New Roman"/>
          <w:i/>
          <w:position w:val="2"/>
          <w:sz w:val="14"/>
        </w:rPr>
        <w:t> </w:t>
      </w:r>
      <w:r>
        <w:rPr>
          <w:rFonts w:ascii="Times New Roman" w:hAnsi="Times New Roman" w:eastAsia="Times New Roman"/>
          <w:position w:val="2"/>
        </w:rPr>
        <w:t>——</w:t>
      </w:r>
      <w:r>
        <w:rPr>
          <w:position w:val="2"/>
        </w:rPr>
        <w:t>固体废物回收率，单位为百分比（</w:t>
      </w:r>
      <w:r>
        <w:rPr>
          <w:rFonts w:ascii="Times New Roman" w:hAnsi="Times New Roman" w:eastAsia="Times New Roman"/>
          <w:position w:val="2"/>
        </w:rPr>
        <w:t>%</w:t>
      </w:r>
      <w:r>
        <w:rPr>
          <w:position w:val="2"/>
        </w:rPr>
        <w:t>）； </w:t>
      </w:r>
    </w:p>
    <w:p>
      <w:pPr>
        <w:pStyle w:val="BodyText"/>
        <w:spacing w:before="4"/>
        <w:ind w:left="992"/>
      </w:pPr>
      <w:r>
        <w:rPr>
          <w:rFonts w:ascii="Times New Roman" w:hAnsi="Times New Roman" w:eastAsia="Times New Roman"/>
          <w:i/>
          <w:position w:val="2"/>
        </w:rPr>
        <w:t>M</w:t>
      </w:r>
      <w:r>
        <w:rPr>
          <w:rFonts w:ascii="Times New Roman" w:hAnsi="Times New Roman" w:eastAsia="Times New Roman"/>
          <w:i/>
          <w:sz w:val="14"/>
        </w:rPr>
        <w:t>h</w:t>
      </w:r>
      <w:r>
        <w:rPr>
          <w:rFonts w:ascii="Times New Roman" w:hAnsi="Times New Roman" w:eastAsia="Times New Roman"/>
          <w:i/>
          <w:position w:val="2"/>
          <w:sz w:val="14"/>
        </w:rPr>
        <w:t> </w:t>
      </w:r>
      <w:r>
        <w:rPr>
          <w:rFonts w:ascii="Times New Roman" w:hAnsi="Times New Roman" w:eastAsia="Times New Roman"/>
          <w:position w:val="2"/>
        </w:rPr>
        <w:t>——</w:t>
      </w:r>
      <w:r>
        <w:rPr>
          <w:position w:val="2"/>
        </w:rPr>
        <w:t>统计期内企业固体废物回收利用量，单位为吨（t）； </w:t>
      </w:r>
    </w:p>
    <w:p>
      <w:pPr>
        <w:spacing w:after="0"/>
        <w:sectPr>
          <w:type w:val="continuous"/>
          <w:pgSz w:w="11910" w:h="16840"/>
          <w:pgMar w:top="520" w:bottom="280" w:left="580" w:right="580"/>
        </w:sectPr>
      </w:pPr>
    </w:p>
    <w:p>
      <w:pPr>
        <w:pStyle w:val="BodyText"/>
        <w:spacing w:before="5"/>
        <w:rPr>
          <w:sz w:val="22"/>
        </w:rPr>
      </w:pPr>
    </w:p>
    <w:p>
      <w:pPr>
        <w:pStyle w:val="BodyText"/>
        <w:spacing w:before="77"/>
        <w:ind w:left="1278"/>
      </w:pPr>
      <w:r>
        <w:rPr>
          <w:rFonts w:ascii="Times New Roman" w:hAnsi="Times New Roman" w:eastAsia="Times New Roman"/>
          <w:i/>
          <w:position w:val="2"/>
        </w:rPr>
        <w:t>M</w:t>
      </w:r>
      <w:r>
        <w:rPr>
          <w:rFonts w:ascii="Times New Roman" w:hAnsi="Times New Roman" w:eastAsia="Times New Roman"/>
          <w:i/>
          <w:sz w:val="14"/>
        </w:rPr>
        <w:t>i</w:t>
      </w:r>
      <w:r>
        <w:rPr>
          <w:rFonts w:ascii="Times New Roman" w:hAnsi="Times New Roman" w:eastAsia="Times New Roman"/>
          <w:i/>
          <w:position w:val="2"/>
          <w:sz w:val="14"/>
        </w:rPr>
        <w:t> </w:t>
      </w:r>
      <w:r>
        <w:rPr>
          <w:rFonts w:ascii="Times New Roman" w:hAnsi="Times New Roman" w:eastAsia="Times New Roman"/>
          <w:position w:val="2"/>
        </w:rPr>
        <w:t>——</w:t>
      </w:r>
      <w:r>
        <w:rPr>
          <w:position w:val="2"/>
        </w:rPr>
        <w:t>统计期内企业固体废物产生量，单位为吨（t）。 </w:t>
      </w:r>
    </w:p>
    <w:p>
      <w:pPr>
        <w:pStyle w:val="BodyText"/>
        <w:spacing w:before="3"/>
        <w:ind w:left="1258"/>
      </w:pPr>
      <w:r>
        <w:rPr>
          <w:w w:val="100"/>
        </w:rPr>
        <w:t> </w:t>
      </w:r>
    </w:p>
    <w:p>
      <w:pPr>
        <w:spacing w:after="0"/>
        <w:sectPr>
          <w:pgSz w:w="11910" w:h="16840"/>
          <w:pgMar w:header="1138" w:footer="1141" w:top="1320" w:bottom="1340" w:left="580" w:right="580"/>
        </w:sect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422" w:val="left" w:leader="none"/>
          <w:tab w:pos="842" w:val="left" w:leader="none"/>
        </w:tabs>
        <w:ind w:right="284"/>
        <w:jc w:val="center"/>
        <w:rPr>
          <w:rFonts w:ascii="黑体" w:eastAsia="黑体" w:hint="eastAsia"/>
        </w:rPr>
      </w:pPr>
      <w:bookmarkStart w:name="_bookmark8" w:id="17"/>
      <w:bookmarkEnd w:id="17"/>
      <w:r>
        <w:rPr/>
      </w:r>
      <w:r>
        <w:rPr>
          <w:rFonts w:ascii="黑体" w:eastAsia="黑体" w:hint="eastAsia"/>
        </w:rPr>
        <w:t>附</w:t>
        <w:tab/>
        <w:t>录</w:t>
        <w:tab/>
        <w:t>B</w:t>
      </w:r>
    </w:p>
    <w:p>
      <w:pPr>
        <w:pStyle w:val="BodyText"/>
        <w:spacing w:line="242" w:lineRule="auto" w:before="2"/>
        <w:ind w:left="4389" w:right="4672" w:firstLine="314"/>
        <w:rPr>
          <w:rFonts w:ascii="黑体" w:eastAsia="黑体" w:hint="eastAsia"/>
        </w:rPr>
      </w:pPr>
      <w:r>
        <w:rPr>
          <w:rFonts w:ascii="黑体" w:eastAsia="黑体" w:hint="eastAsia"/>
        </w:rPr>
        <w:t>（</w:t>
      </w:r>
      <w:r>
        <w:rPr>
          <w:rFonts w:ascii="黑体" w:eastAsia="黑体" w:hint="eastAsia"/>
          <w:spacing w:val="-2"/>
        </w:rPr>
        <w:t>规范性</w:t>
      </w:r>
      <w:r>
        <w:rPr>
          <w:rFonts w:ascii="黑体" w:eastAsia="黑体" w:hint="eastAsia"/>
        </w:rPr>
        <w:t>）  </w:t>
      </w:r>
      <w:r>
        <w:rPr>
          <w:rFonts w:ascii="黑体" w:eastAsia="黑体" w:hint="eastAsia"/>
          <w:spacing w:val="-5"/>
        </w:rPr>
        <w:t>生命周期评价方法</w:t>
      </w:r>
    </w:p>
    <w:p>
      <w:pPr>
        <w:pStyle w:val="BodyText"/>
        <w:spacing w:before="6"/>
        <w:rPr>
          <w:rFonts w:ascii="黑体"/>
          <w:sz w:val="16"/>
        </w:rPr>
      </w:pPr>
    </w:p>
    <w:p>
      <w:pPr>
        <w:pStyle w:val="ListParagraph"/>
        <w:numPr>
          <w:ilvl w:val="1"/>
          <w:numId w:val="7"/>
        </w:numPr>
        <w:tabs>
          <w:tab w:pos="1078" w:val="left" w:leader="none"/>
          <w:tab w:pos="1079" w:val="left" w:leader="none"/>
        </w:tabs>
        <w:spacing w:line="240" w:lineRule="auto" w:before="71" w:after="0"/>
        <w:ind w:left="1078" w:right="0" w:hanging="527"/>
        <w:jc w:val="left"/>
        <w:rPr>
          <w:rFonts w:ascii="黑体" w:eastAsia="黑体" w:hint="eastAsia"/>
          <w:sz w:val="21"/>
        </w:rPr>
      </w:pPr>
      <w:r>
        <w:rPr>
          <w:rFonts w:ascii="黑体" w:eastAsia="黑体" w:hint="eastAsia"/>
          <w:sz w:val="21"/>
        </w:rPr>
        <w:t>概况</w:t>
      </w:r>
    </w:p>
    <w:p>
      <w:pPr>
        <w:pStyle w:val="BodyText"/>
        <w:spacing w:before="12"/>
        <w:rPr>
          <w:rFonts w:ascii="黑体"/>
          <w:sz w:val="18"/>
        </w:rPr>
      </w:pPr>
    </w:p>
    <w:p>
      <w:pPr>
        <w:pStyle w:val="BodyText"/>
        <w:spacing w:line="242" w:lineRule="auto"/>
        <w:ind w:left="552" w:right="832" w:firstLine="420"/>
        <w:jc w:val="both"/>
      </w:pPr>
      <w:r>
        <w:rPr>
          <w:spacing w:val="-11"/>
        </w:rPr>
        <w:t>依据 </w:t>
      </w:r>
      <w:r>
        <w:rPr/>
        <w:t>GB/T</w:t>
      </w:r>
      <w:r>
        <w:rPr>
          <w:spacing w:val="62"/>
        </w:rPr>
        <w:t> </w:t>
      </w:r>
      <w:r>
        <w:rPr/>
        <w:t>24040</w:t>
      </w:r>
      <w:r>
        <w:rPr>
          <w:spacing w:val="-20"/>
        </w:rPr>
        <w:t> 和 </w:t>
      </w:r>
      <w:r>
        <w:rPr/>
        <w:t>GB/T</w:t>
      </w:r>
      <w:r>
        <w:rPr>
          <w:spacing w:val="61"/>
        </w:rPr>
        <w:t> </w:t>
      </w:r>
      <w:r>
        <w:rPr/>
        <w:t>24044</w:t>
      </w:r>
      <w:r>
        <w:rPr>
          <w:spacing w:val="-3"/>
        </w:rPr>
        <w:t>，建立城镇污泥干化碳化处理一体化装备产品的生命周期评价方法。城镇污泥干化碳化处理一体化装备产品的生命周期评价的过程应包括：</w:t>
      </w:r>
      <w:r>
        <w:rPr/>
        <w:t> </w:t>
      </w:r>
    </w:p>
    <w:p>
      <w:pPr>
        <w:pStyle w:val="ListParagraph"/>
        <w:numPr>
          <w:ilvl w:val="2"/>
          <w:numId w:val="7"/>
        </w:numPr>
        <w:tabs>
          <w:tab w:pos="1311" w:val="left" w:leader="none"/>
        </w:tabs>
        <w:spacing w:line="242" w:lineRule="auto" w:before="1" w:after="0"/>
        <w:ind w:left="1412" w:right="839" w:hanging="420"/>
        <w:jc w:val="both"/>
        <w:rPr>
          <w:sz w:val="21"/>
        </w:rPr>
      </w:pPr>
      <w:r>
        <w:rPr>
          <w:spacing w:val="-1"/>
          <w:sz w:val="21"/>
        </w:rPr>
        <w:t>目的和范围的确定：研究确定评价城镇污泥干化碳化处理一体化装备产品的目的，确定城镇 污泥干化碳化处理一体化装备产品的功能单位，界定系统边界和时间边界，明确影响类型、</w:t>
      </w:r>
      <w:r>
        <w:rPr>
          <w:spacing w:val="-3"/>
          <w:sz w:val="21"/>
        </w:rPr>
        <w:t>必备要素和可选要素，提出数据及质量要求，给出评价报告的形式；</w:t>
      </w:r>
      <w:r>
        <w:rPr>
          <w:sz w:val="21"/>
        </w:rPr>
        <w:t> </w:t>
      </w:r>
    </w:p>
    <w:p>
      <w:pPr>
        <w:pStyle w:val="ListParagraph"/>
        <w:numPr>
          <w:ilvl w:val="2"/>
          <w:numId w:val="7"/>
        </w:numPr>
        <w:tabs>
          <w:tab w:pos="1311" w:val="left" w:leader="none"/>
        </w:tabs>
        <w:spacing w:line="244" w:lineRule="auto" w:before="1" w:after="0"/>
        <w:ind w:left="1412" w:right="839" w:hanging="420"/>
        <w:jc w:val="left"/>
        <w:rPr>
          <w:sz w:val="21"/>
        </w:rPr>
      </w:pPr>
      <w:r>
        <w:rPr>
          <w:spacing w:val="-1"/>
          <w:sz w:val="21"/>
        </w:rPr>
        <w:t>清单分析：主要包括数据收集准备、数据的收集、数据的确认、数据与单元过程的关联、数 </w:t>
      </w:r>
      <w:r>
        <w:rPr>
          <w:spacing w:val="-3"/>
          <w:sz w:val="21"/>
        </w:rPr>
        <w:t>据与功能单位的关联、清算计算方法、数据合并、数据的分配等；</w:t>
      </w:r>
      <w:r>
        <w:rPr>
          <w:sz w:val="21"/>
        </w:rPr>
        <w:t> </w:t>
      </w:r>
    </w:p>
    <w:p>
      <w:pPr>
        <w:pStyle w:val="ListParagraph"/>
        <w:numPr>
          <w:ilvl w:val="2"/>
          <w:numId w:val="7"/>
        </w:numPr>
        <w:tabs>
          <w:tab w:pos="1311" w:val="left" w:leader="none"/>
        </w:tabs>
        <w:spacing w:line="244" w:lineRule="auto" w:before="0" w:after="0"/>
        <w:ind w:left="1412" w:right="832" w:hanging="420"/>
        <w:jc w:val="left"/>
        <w:rPr>
          <w:sz w:val="21"/>
        </w:rPr>
      </w:pPr>
      <w:r>
        <w:rPr>
          <w:spacing w:val="-1"/>
          <w:sz w:val="21"/>
        </w:rPr>
        <w:t>影响评价：选取影响类型、类型参数和特征化模型，将生命周期清单数据划分至所选的影响 </w:t>
      </w:r>
      <w:r>
        <w:rPr>
          <w:spacing w:val="-3"/>
          <w:sz w:val="21"/>
        </w:rPr>
        <w:t>类型，计算类型特征化值； </w:t>
      </w:r>
    </w:p>
    <w:p>
      <w:pPr>
        <w:pStyle w:val="ListParagraph"/>
        <w:numPr>
          <w:ilvl w:val="2"/>
          <w:numId w:val="7"/>
        </w:numPr>
        <w:tabs>
          <w:tab w:pos="1311" w:val="left" w:leader="none"/>
        </w:tabs>
        <w:spacing w:line="242" w:lineRule="auto" w:before="0" w:after="0"/>
        <w:ind w:left="1412" w:right="839" w:hanging="420"/>
        <w:jc w:val="both"/>
        <w:rPr>
          <w:sz w:val="21"/>
        </w:rPr>
      </w:pPr>
      <w:r>
        <w:rPr>
          <w:spacing w:val="-1"/>
          <w:sz w:val="21"/>
        </w:rPr>
        <w:t>解释和报告：综合考虑清单分析和影响评价，对评价结果进行完整性、敏感性、一致性和不 确定性检查，并对结论、建议和局限性进行说明，编制城镇污泥干化碳化处理一体化装备产</w:t>
      </w:r>
      <w:r>
        <w:rPr>
          <w:spacing w:val="-3"/>
          <w:sz w:val="21"/>
        </w:rPr>
        <w:t>品生命周期评价报告。</w:t>
      </w:r>
      <w:r>
        <w:rPr>
          <w:sz w:val="21"/>
        </w:rPr>
        <w:t> </w:t>
      </w:r>
    </w:p>
    <w:p>
      <w:pPr>
        <w:pStyle w:val="BodyText"/>
        <w:spacing w:before="5"/>
        <w:rPr>
          <w:sz w:val="18"/>
        </w:rPr>
      </w:pPr>
    </w:p>
    <w:p>
      <w:pPr>
        <w:pStyle w:val="ListParagraph"/>
        <w:numPr>
          <w:ilvl w:val="1"/>
          <w:numId w:val="7"/>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目的和范围的确定</w:t>
      </w:r>
    </w:p>
    <w:p>
      <w:pPr>
        <w:pStyle w:val="BodyText"/>
        <w:spacing w:before="11"/>
        <w:rPr>
          <w:rFonts w:ascii="黑体"/>
          <w:sz w:val="18"/>
        </w:rPr>
      </w:pPr>
    </w:p>
    <w:p>
      <w:pPr>
        <w:pStyle w:val="ListParagraph"/>
        <w:numPr>
          <w:ilvl w:val="2"/>
          <w:numId w:val="8"/>
        </w:numPr>
        <w:tabs>
          <w:tab w:pos="1289" w:val="left" w:leader="none"/>
          <w:tab w:pos="1291" w:val="left" w:leader="none"/>
        </w:tabs>
        <w:spacing w:line="240" w:lineRule="auto" w:before="0" w:after="0"/>
        <w:ind w:left="1290" w:right="0" w:hanging="739"/>
        <w:jc w:val="left"/>
        <w:rPr>
          <w:rFonts w:ascii="黑体" w:eastAsia="黑体" w:hint="eastAsia"/>
          <w:sz w:val="21"/>
        </w:rPr>
      </w:pPr>
      <w:r>
        <w:rPr>
          <w:rFonts w:ascii="黑体" w:eastAsia="黑体" w:hint="eastAsia"/>
          <w:spacing w:val="-3"/>
          <w:sz w:val="21"/>
        </w:rPr>
        <w:t>评价目的</w:t>
      </w:r>
    </w:p>
    <w:p>
      <w:pPr>
        <w:pStyle w:val="BodyText"/>
        <w:spacing w:before="1"/>
        <w:rPr>
          <w:rFonts w:ascii="黑体"/>
          <w:sz w:val="19"/>
        </w:rPr>
      </w:pPr>
    </w:p>
    <w:p>
      <w:pPr>
        <w:pStyle w:val="BodyText"/>
        <w:spacing w:line="242" w:lineRule="auto" w:before="1"/>
        <w:ind w:left="552" w:right="839" w:firstLine="420"/>
        <w:jc w:val="both"/>
      </w:pPr>
      <w:r>
        <w:rPr/>
        <w:t>城镇污泥干化碳化处理一体化装备产品应从设计、原材料获取、生产、运输、使用到最终废弃处理的过程中对环境造成的影响，通过评价城镇污泥干化碳化处理一体化装备全生命周期的环境影响大小，提出城镇污泥干化碳化处理一体化装备绿色设计改进方案，从而大幅度提升城镇污泥干化碳化处理一体化装备的环境友好程度。 </w:t>
      </w:r>
    </w:p>
    <w:p>
      <w:pPr>
        <w:pStyle w:val="BodyText"/>
        <w:spacing w:before="12"/>
        <w:rPr>
          <w:sz w:val="18"/>
        </w:rPr>
      </w:pPr>
    </w:p>
    <w:p>
      <w:pPr>
        <w:pStyle w:val="ListParagraph"/>
        <w:numPr>
          <w:ilvl w:val="2"/>
          <w:numId w:val="8"/>
        </w:numPr>
        <w:tabs>
          <w:tab w:pos="1289" w:val="left" w:leader="none"/>
          <w:tab w:pos="1291" w:val="left" w:leader="none"/>
        </w:tabs>
        <w:spacing w:line="240" w:lineRule="auto" w:before="0" w:after="0"/>
        <w:ind w:left="1290" w:right="0" w:hanging="739"/>
        <w:jc w:val="left"/>
        <w:rPr>
          <w:rFonts w:ascii="黑体" w:eastAsia="黑体" w:hint="eastAsia"/>
          <w:sz w:val="21"/>
        </w:rPr>
      </w:pPr>
      <w:r>
        <w:rPr>
          <w:rFonts w:ascii="黑体" w:eastAsia="黑体" w:hint="eastAsia"/>
          <w:spacing w:val="-3"/>
          <w:sz w:val="21"/>
        </w:rPr>
        <w:t>评价范围</w:t>
      </w:r>
    </w:p>
    <w:p>
      <w:pPr>
        <w:pStyle w:val="BodyText"/>
        <w:spacing w:before="11"/>
        <w:rPr>
          <w:rFonts w:ascii="黑体"/>
          <w:sz w:val="18"/>
        </w:rPr>
      </w:pPr>
    </w:p>
    <w:p>
      <w:pPr>
        <w:pStyle w:val="ListParagraph"/>
        <w:numPr>
          <w:ilvl w:val="3"/>
          <w:numId w:val="8"/>
        </w:numPr>
        <w:tabs>
          <w:tab w:pos="1498" w:val="left" w:leader="none"/>
          <w:tab w:pos="1499" w:val="left" w:leader="none"/>
        </w:tabs>
        <w:spacing w:line="240" w:lineRule="auto" w:before="0" w:after="0"/>
        <w:ind w:left="1498" w:right="0" w:hanging="947"/>
        <w:jc w:val="left"/>
        <w:rPr>
          <w:rFonts w:ascii="黑体" w:eastAsia="黑体" w:hint="eastAsia"/>
          <w:sz w:val="21"/>
        </w:rPr>
      </w:pPr>
      <w:r>
        <w:rPr>
          <w:rFonts w:ascii="黑体" w:eastAsia="黑体" w:hint="eastAsia"/>
          <w:sz w:val="21"/>
        </w:rPr>
        <w:t>总则</w:t>
      </w:r>
    </w:p>
    <w:p>
      <w:pPr>
        <w:pStyle w:val="BodyText"/>
        <w:spacing w:before="1"/>
        <w:rPr>
          <w:rFonts w:ascii="黑体"/>
          <w:sz w:val="19"/>
        </w:rPr>
      </w:pPr>
    </w:p>
    <w:p>
      <w:pPr>
        <w:pStyle w:val="BodyText"/>
        <w:spacing w:line="242" w:lineRule="auto" w:before="1"/>
        <w:ind w:left="552" w:right="843" w:firstLine="420"/>
      </w:pPr>
      <w:r>
        <w:rPr/>
        <w:t>根据评价目的确定评价范围，确保两者相适应。在某些情况下，可对评价范围进行调整，但需要对调整的内容和理由进行书面说明。 </w:t>
      </w:r>
    </w:p>
    <w:p>
      <w:pPr>
        <w:pStyle w:val="BodyText"/>
        <w:spacing w:before="8"/>
        <w:rPr>
          <w:sz w:val="18"/>
        </w:rPr>
      </w:pPr>
    </w:p>
    <w:p>
      <w:pPr>
        <w:pStyle w:val="ListParagraph"/>
        <w:numPr>
          <w:ilvl w:val="3"/>
          <w:numId w:val="8"/>
        </w:numPr>
        <w:tabs>
          <w:tab w:pos="1498" w:val="left" w:leader="none"/>
          <w:tab w:pos="1499" w:val="left" w:leader="none"/>
        </w:tabs>
        <w:spacing w:line="240" w:lineRule="auto" w:before="0" w:after="0"/>
        <w:ind w:left="1498" w:right="0" w:hanging="947"/>
        <w:jc w:val="left"/>
        <w:rPr>
          <w:rFonts w:ascii="黑体" w:eastAsia="黑体" w:hint="eastAsia"/>
          <w:sz w:val="21"/>
        </w:rPr>
      </w:pPr>
      <w:r>
        <w:rPr>
          <w:rFonts w:ascii="黑体" w:eastAsia="黑体" w:hint="eastAsia"/>
          <w:spacing w:val="-2"/>
          <w:sz w:val="21"/>
        </w:rPr>
        <w:t>功能单位</w:t>
      </w:r>
    </w:p>
    <w:p>
      <w:pPr>
        <w:pStyle w:val="BodyText"/>
        <w:spacing w:before="1"/>
        <w:rPr>
          <w:rFonts w:ascii="黑体"/>
          <w:sz w:val="19"/>
        </w:rPr>
      </w:pPr>
    </w:p>
    <w:p>
      <w:pPr>
        <w:pStyle w:val="BodyText"/>
        <w:spacing w:line="242" w:lineRule="auto"/>
        <w:ind w:left="552" w:right="836" w:firstLine="420"/>
      </w:pPr>
      <w:r>
        <w:rPr/>
        <w:t>功能单位应是明确规定并且可测量的。本部分以“一套城镇污泥干化碳化处理一体化装备”为功能单位来表示。 </w:t>
      </w:r>
    </w:p>
    <w:p>
      <w:pPr>
        <w:pStyle w:val="BodyText"/>
        <w:spacing w:before="11"/>
        <w:rPr>
          <w:sz w:val="18"/>
        </w:rPr>
      </w:pPr>
    </w:p>
    <w:p>
      <w:pPr>
        <w:pStyle w:val="ListParagraph"/>
        <w:numPr>
          <w:ilvl w:val="3"/>
          <w:numId w:val="8"/>
        </w:numPr>
        <w:tabs>
          <w:tab w:pos="1498" w:val="left" w:leader="none"/>
          <w:tab w:pos="1499" w:val="left" w:leader="none"/>
        </w:tabs>
        <w:spacing w:line="240" w:lineRule="auto" w:before="0" w:after="0"/>
        <w:ind w:left="1498" w:right="0" w:hanging="947"/>
        <w:jc w:val="left"/>
        <w:rPr>
          <w:rFonts w:ascii="黑体" w:eastAsia="黑体" w:hint="eastAsia"/>
          <w:sz w:val="21"/>
        </w:rPr>
      </w:pPr>
      <w:r>
        <w:rPr>
          <w:rFonts w:ascii="黑体" w:eastAsia="黑体" w:hint="eastAsia"/>
          <w:spacing w:val="-2"/>
          <w:sz w:val="21"/>
        </w:rPr>
        <w:t>系统边界</w:t>
      </w:r>
    </w:p>
    <w:p>
      <w:pPr>
        <w:pStyle w:val="BodyText"/>
        <w:spacing w:before="11"/>
        <w:rPr>
          <w:rFonts w:ascii="黑体"/>
          <w:sz w:val="18"/>
        </w:rPr>
      </w:pPr>
    </w:p>
    <w:p>
      <w:pPr>
        <w:pStyle w:val="BodyText"/>
        <w:spacing w:line="244" w:lineRule="auto" w:before="1"/>
        <w:ind w:left="552" w:right="623" w:firstLine="420"/>
      </w:pPr>
      <w:r>
        <w:rPr/>
        <w:pict>
          <v:group style="position:absolute;margin-left:93.099998pt;margin-top:30.370005pt;width:393.45pt;height:28.65pt;mso-position-horizontal-relative:page;mso-position-vertical-relative:paragraph;z-index:-251653120;mso-wrap-distance-left:0;mso-wrap-distance-right:0" coordorigin="1862,607" coordsize="7869,573">
            <v:shape style="position:absolute;left:1862;top:631;width:1201;height:549" type="#_x0000_t75" stroked="false">
              <v:imagedata r:id="rId11" o:title=""/>
            </v:shape>
            <v:shape style="position:absolute;left:2047;top:800;width:829;height:201" type="#_x0000_t75" stroked="false">
              <v:imagedata r:id="rId12" o:title=""/>
            </v:shape>
            <v:shape style="position:absolute;left:3417;top:629;width:1221;height:541" coordorigin="3417,629" coordsize="1221,541" path="m3417,720l3424,684,3443,656,3472,636,3507,629,4548,629,4583,636,4612,656,4631,684,4638,720,4638,1080,4631,1115,4612,1144,4583,1163,4548,1170,3507,1170,3472,1163,3443,1144,3424,1115,3417,1080,3417,720xe" filled="false" stroked="true" strokeweight="1pt" strokecolor="#000000">
              <v:path arrowok="t"/>
              <v:stroke dashstyle="solid"/>
            </v:shape>
            <v:shape style="position:absolute;left:3453;top:737;width:1150;height:327" type="#_x0000_t75" stroked="false">
              <v:imagedata r:id="rId13" o:title=""/>
            </v:shape>
            <v:shape style="position:absolute;left:3620;top:797;width:824;height:200" type="#_x0000_t75" stroked="false">
              <v:imagedata r:id="rId14" o:title=""/>
            </v:shape>
            <v:shape style="position:absolute;left:3047;top:782;width:377;height:247" type="#_x0000_t75" stroked="false">
              <v:imagedata r:id="rId15" o:title=""/>
            </v:shape>
            <v:shape style="position:absolute;left:3067;top:931;width:288;height:3" type="#_x0000_t75" stroked="false">
              <v:imagedata r:id="rId16" o:title=""/>
            </v:shape>
            <v:shape style="position:absolute;left:4992;top:629;width:1208;height:541" coordorigin="4992,629" coordsize="1208,541" path="m4992,720l4999,684,5018,656,5047,636,5082,629,6110,629,6145,636,6174,656,6193,684,6200,720,6200,1080,6193,1115,6174,1144,6145,1163,6110,1170,5082,1170,5047,1163,5018,1144,4999,1115,4992,1080,4992,720xe" filled="false" stroked="true" strokeweight="1.0pt" strokecolor="#000000">
              <v:path arrowok="t"/>
              <v:stroke dashstyle="solid"/>
            </v:shape>
            <v:shape style="position:absolute;left:5028;top:737;width:1136;height:327" type="#_x0000_t75" stroked="false">
              <v:imagedata r:id="rId17" o:title=""/>
            </v:shape>
            <v:shape style="position:absolute;left:5179;top:798;width:819;height:196" coordorigin="5180,799" coordsize="819,196" path="m5411,902l5412,907,5412,912,5412,976,5412,979,5412,983,5412,985,5411,990,5424,990,5423,985,5423,979,5423,973,5480,973,5480,963,5423,963,5423,913,5480,913,5480,912,5480,907,5481,903,5421,903,5416,903,5411,902xm5480,973l5468,973,5469,979,5468,983,5467,988,5481,988,5480,982,5480,979,5480,973xm5480,913l5468,913,5468,963,5480,963,5480,913xm5467,903l5425,903,5421,903,5471,903,5467,903xm5481,902l5476,903,5471,903,5481,903,5481,902xm5501,901l5502,906,5502,909,5503,978,5502,983,5502,984,5501,989,5515,989,5514,984,5514,981,5514,973,5574,973,5574,963,5514,963,5514,913,5574,913,5574,909,5574,905,5575,902,5511,902,5506,902,5501,901xm5574,973l5562,973,5562,978,5562,983,5561,987,5575,987,5574,981,5574,977,5574,973xm5574,913l5562,913,5562,963,5574,963,5574,913xm5575,901l5569,902,5564,902,5575,902,5575,901xm5843,877l5844,887,5845,896,5845,905,5844,916,5843,927,5842,937,5840,946,5835,958,5829,969,5821,979,5811,987,5817,988,5823,991,5828,994,5841,973,5851,949,5856,921,5857,889,5998,889,5998,878,5861,878,5855,878,5849,878,5843,877xm5998,889l5981,889,5986,889,5992,889,5998,890,5998,889xm5882,842l5873,849,5882,858,5889,868,5894,878,5897,878,5906,870,5899,860,5891,851,5882,842xm5948,841l5945,849,5941,857,5935,867,5928,878,5942,878,5945,873,5949,867,5953,860,5956,856,5959,854,5961,853,5963,853,5964,852,5964,852,5964,851,5963,850,5962,849,5948,841xm5998,877l5992,878,5986,878,5981,878,5998,878,5998,877xm5842,829l5842,842,5848,841,5853,840,5859,840,5991,840,5991,830,5859,830,5854,830,5848,829,5842,829xm5991,840l5973,840,5979,840,5985,841,5991,842,5991,840xm5906,799l5898,808,5910,816,5919,823,5925,830,5926,830,5934,819,5927,813,5918,806,5906,799xm5991,829l5985,829,5980,830,5973,830,5991,830,5991,829xm5212,877l5213,887,5213,896,5213,905,5213,916,5212,927,5211,937,5208,946,5204,958,5198,969,5190,979,5180,987,5186,988,5192,991,5197,994,5210,973,5220,949,5225,921,5226,889,5367,889,5367,878,5230,878,5224,878,5218,878,5212,877xm5367,889l5350,889,5355,889,5361,889,5367,890,5367,889xm5251,842l5242,849,5250,858,5257,868,5263,878,5265,878,5275,870,5268,860,5260,851,5251,842xm5317,841l5314,849,5309,857,5304,867,5296,878,5310,878,5314,873,5318,867,5322,860,5325,856,5327,854,5330,853,5332,853,5332,852,5333,852,5333,851,5332,850,5331,849,5317,841xm5367,877l5361,878,5355,878,5350,878,5367,878,5367,877xm5210,829l5210,842,5217,841,5222,840,5228,840,5360,840,5360,830,5228,830,5223,830,5217,829,5210,829xm5360,840l5342,840,5348,840,5354,841,5360,842,5360,840xm5275,799l5267,808,5279,816,5288,823,5294,830,5295,830,5303,819,5296,813,5286,806,5275,799xm5360,829l5354,829,5348,830,5342,830,5360,830,5360,829xm5441,812l5442,816,5442,821,5442,872,5442,877,5441,881,5446,880,5452,880,5541,880,5540,876,5540,872,5540,869,5453,869,5453,824,5540,824,5540,821,5540,817,5541,813,5452,813,5447,813,5441,812xm5541,880l5530,880,5535,880,5541,881,5541,880xm5530,880l5452,880,5456,880,5527,880,5530,880xm5540,824l5529,824,5529,869,5540,869,5540,824xm5541,812l5535,813,5530,813,5456,813,5452,813,5541,813,5541,812xm5613,971l5613,984,5620,983,5626,983,5796,983,5796,972,5626,972,5620,972,5613,971xm5796,983l5783,983,5789,983,5796,984,5796,983xm5711,921l5699,921,5699,972,5711,972,5711,921xm5796,971l5789,972,5783,972,5796,972,5796,971xm5642,909l5642,922,5649,921,5656,921,5767,921,5767,910,5657,910,5650,910,5642,909xm5767,921l5755,921,5761,921,5767,922,5767,921xm5711,864l5699,864,5699,910,5711,910,5711,864xm5767,909l5761,910,5755,910,5767,910,5767,909xm5648,821l5643,847,5635,869,5623,889,5609,905,5616,905,5622,907,5627,909,5634,898,5639,887,5645,876,5650,864,5778,864,5778,853,5654,853,5655,852,5655,850,5656,848,5657,844,5659,839,5660,834,5662,831,5664,830,5666,829,5667,828,5667,826,5666,826,5664,825,5648,821xm5778,864l5765,864,5772,864,5778,865,5778,864xm5698,802l5698,810,5699,815,5699,853,5711,853,5711,815,5713,810,5715,809,5716,807,5717,807,5717,806,5717,805,5716,805,5714,805,5698,802xm5778,852l5772,853,5765,853,5778,853,5778,852xe" filled="true" fillcolor="#000000" stroked="false">
              <v:path arrowok="t"/>
              <v:fill type="solid"/>
            </v:shape>
            <v:shape style="position:absolute;left:4625;top:785;width:377;height:247" type="#_x0000_t75" stroked="false">
              <v:imagedata r:id="rId18" o:title=""/>
            </v:shape>
            <v:shape style="position:absolute;left:4644;top:933;width:288;height:3" type="#_x0000_t75" stroked="false">
              <v:imagedata r:id="rId16" o:title=""/>
            </v:shape>
            <v:shape style="position:absolute;left:6555;top:629;width:1208;height:541" coordorigin="6555,629" coordsize="1208,541" path="m6555,720l6562,684,6581,656,6610,636,6645,629,7673,629,7708,636,7737,656,7756,684,7763,720,7763,1080,7756,1115,7737,1144,7708,1163,7673,1170,6645,1170,6610,1163,6581,1144,6562,1115,6555,1080,6555,720xe" filled="false" stroked="true" strokeweight="1pt" strokecolor="#000000">
              <v:path arrowok="t"/>
              <v:stroke dashstyle="solid"/>
            </v:shape>
            <v:shape style="position:absolute;left:6590;top:737;width:1138;height:327" type="#_x0000_t75" stroked="false">
              <v:imagedata r:id="rId19" o:title=""/>
            </v:shape>
            <v:shape style="position:absolute;left:6742;top:798;width:813;height:196" type="#_x0000_t75" stroked="false">
              <v:imagedata r:id="rId20" o:title=""/>
            </v:shape>
            <v:shape style="position:absolute;left:6190;top:784;width:377;height:247" type="#_x0000_t75" stroked="false">
              <v:imagedata r:id="rId21" o:title=""/>
            </v:shape>
            <v:shape style="position:absolute;left:6211;top:933;width:288;height:3" type="#_x0000_t75" stroked="false">
              <v:imagedata r:id="rId16" o:title=""/>
            </v:shape>
            <v:shape style="position:absolute;left:8108;top:607;width:1623;height:549" type="#_x0000_t75" stroked="false">
              <v:imagedata r:id="rId22" o:title=""/>
            </v:shape>
            <v:shape style="position:absolute;left:8295;top:777;width:1250;height:198" type="#_x0000_t75" stroked="false">
              <v:imagedata r:id="rId23" o:title=""/>
            </v:shape>
            <v:shape style="position:absolute;left:7754;top:771;width:377;height:247" type="#_x0000_t75" stroked="false">
              <v:imagedata r:id="rId18" o:title=""/>
            </v:shape>
            <v:shape style="position:absolute;left:7773;top:919;width:288;height:3" type="#_x0000_t75" stroked="false">
              <v:imagedata r:id="rId16" o:title=""/>
            </v:shape>
            <w10:wrap type="topAndBottom"/>
          </v:group>
        </w:pict>
      </w:r>
      <w:r>
        <w:rPr/>
        <w:t>本部分界定的城镇污泥干化碳化处理一体化装备生命周期系统边界，分五个阶段，如图 B.1 所示， 具体包括：产品设计阶段、资源获取阶段、产品生产阶段、产品使用阶段、产品回收处理阶段。</w:t>
      </w:r>
    </w:p>
    <w:p>
      <w:pPr>
        <w:pStyle w:val="BodyText"/>
        <w:tabs>
          <w:tab w:pos="3022" w:val="left" w:leader="none"/>
        </w:tabs>
        <w:spacing w:before="90"/>
        <w:ind w:left="2233"/>
        <w:rPr>
          <w:rFonts w:ascii="黑体" w:eastAsia="黑体" w:hint="eastAsia"/>
        </w:rPr>
      </w:pPr>
      <w:r>
        <w:rPr>
          <w:rFonts w:ascii="黑体" w:eastAsia="黑体" w:hint="eastAsia"/>
        </w:rPr>
        <w:t>图</w:t>
      </w:r>
      <w:r>
        <w:rPr>
          <w:rFonts w:ascii="黑体" w:eastAsia="黑体" w:hint="eastAsia"/>
          <w:spacing w:val="-53"/>
        </w:rPr>
        <w:t> </w:t>
      </w:r>
      <w:r>
        <w:rPr>
          <w:rFonts w:ascii="黑体" w:eastAsia="黑体" w:hint="eastAsia"/>
        </w:rPr>
        <w:t>B.1</w:t>
        <w:tab/>
      </w:r>
      <w:r>
        <w:rPr>
          <w:rFonts w:ascii="黑体" w:eastAsia="黑体" w:hint="eastAsia"/>
          <w:spacing w:val="-3"/>
        </w:rPr>
        <w:t>城</w:t>
      </w:r>
      <w:r>
        <w:rPr>
          <w:rFonts w:ascii="黑体" w:eastAsia="黑体" w:hint="eastAsia"/>
        </w:rPr>
        <w:t>镇</w:t>
      </w:r>
      <w:r>
        <w:rPr>
          <w:rFonts w:ascii="黑体" w:eastAsia="黑体" w:hint="eastAsia"/>
          <w:spacing w:val="-3"/>
        </w:rPr>
        <w:t>污</w:t>
      </w:r>
      <w:r>
        <w:rPr>
          <w:rFonts w:ascii="黑体" w:eastAsia="黑体" w:hint="eastAsia"/>
        </w:rPr>
        <w:t>泥</w:t>
      </w:r>
      <w:r>
        <w:rPr>
          <w:rFonts w:ascii="黑体" w:eastAsia="黑体" w:hint="eastAsia"/>
          <w:spacing w:val="-3"/>
        </w:rPr>
        <w:t>干</w:t>
      </w:r>
      <w:r>
        <w:rPr>
          <w:rFonts w:ascii="黑体" w:eastAsia="黑体" w:hint="eastAsia"/>
        </w:rPr>
        <w:t>化</w:t>
      </w:r>
      <w:r>
        <w:rPr>
          <w:rFonts w:ascii="黑体" w:eastAsia="黑体" w:hint="eastAsia"/>
          <w:spacing w:val="-3"/>
        </w:rPr>
        <w:t>碳</w:t>
      </w:r>
      <w:r>
        <w:rPr>
          <w:rFonts w:ascii="黑体" w:eastAsia="黑体" w:hint="eastAsia"/>
        </w:rPr>
        <w:t>化处</w:t>
      </w:r>
      <w:r>
        <w:rPr>
          <w:rFonts w:ascii="黑体" w:eastAsia="黑体" w:hint="eastAsia"/>
          <w:spacing w:val="-3"/>
        </w:rPr>
        <w:t>理</w:t>
      </w:r>
      <w:r>
        <w:rPr>
          <w:rFonts w:ascii="黑体" w:eastAsia="黑体" w:hint="eastAsia"/>
        </w:rPr>
        <w:t>一</w:t>
      </w:r>
      <w:r>
        <w:rPr>
          <w:rFonts w:ascii="黑体" w:eastAsia="黑体" w:hint="eastAsia"/>
          <w:spacing w:val="-3"/>
        </w:rPr>
        <w:t>体</w:t>
      </w:r>
      <w:r>
        <w:rPr>
          <w:rFonts w:ascii="黑体" w:eastAsia="黑体" w:hint="eastAsia"/>
        </w:rPr>
        <w:t>化</w:t>
      </w:r>
      <w:r>
        <w:rPr>
          <w:rFonts w:ascii="黑体" w:eastAsia="黑体" w:hint="eastAsia"/>
          <w:spacing w:val="-3"/>
        </w:rPr>
        <w:t>装</w:t>
      </w:r>
      <w:r>
        <w:rPr>
          <w:rFonts w:ascii="黑体" w:eastAsia="黑体" w:hint="eastAsia"/>
        </w:rPr>
        <w:t>备</w:t>
      </w:r>
      <w:r>
        <w:rPr>
          <w:rFonts w:ascii="黑体" w:eastAsia="黑体" w:hint="eastAsia"/>
          <w:spacing w:val="-3"/>
        </w:rPr>
        <w:t>生</w:t>
      </w:r>
      <w:r>
        <w:rPr>
          <w:rFonts w:ascii="黑体" w:eastAsia="黑体" w:hint="eastAsia"/>
        </w:rPr>
        <w:t>命</w:t>
      </w:r>
      <w:r>
        <w:rPr>
          <w:rFonts w:ascii="黑体" w:eastAsia="黑体" w:hint="eastAsia"/>
          <w:spacing w:val="-3"/>
        </w:rPr>
        <w:t>周</w:t>
      </w:r>
      <w:r>
        <w:rPr>
          <w:rFonts w:ascii="黑体" w:eastAsia="黑体" w:hint="eastAsia"/>
        </w:rPr>
        <w:t>期系</w:t>
      </w:r>
      <w:r>
        <w:rPr>
          <w:rFonts w:ascii="黑体" w:eastAsia="黑体" w:hint="eastAsia"/>
          <w:spacing w:val="-3"/>
        </w:rPr>
        <w:t>统</w:t>
      </w:r>
      <w:r>
        <w:rPr>
          <w:rFonts w:ascii="黑体" w:eastAsia="黑体" w:hint="eastAsia"/>
        </w:rPr>
        <w:t>边</w:t>
      </w:r>
      <w:r>
        <w:rPr>
          <w:rFonts w:ascii="黑体" w:eastAsia="黑体" w:hint="eastAsia"/>
          <w:spacing w:val="-3"/>
        </w:rPr>
        <w:t>界</w:t>
      </w:r>
      <w:r>
        <w:rPr>
          <w:rFonts w:ascii="黑体" w:eastAsia="黑体" w:hint="eastAsia"/>
        </w:rPr>
        <w:t>图</w:t>
      </w:r>
    </w:p>
    <w:p>
      <w:pPr>
        <w:spacing w:after="0"/>
        <w:rPr>
          <w:rFonts w:ascii="黑体" w:eastAsia="黑体" w:hint="eastAsia"/>
        </w:rPr>
        <w:sectPr>
          <w:pgSz w:w="11910" w:h="16840"/>
          <w:pgMar w:header="1138" w:footer="1141" w:top="1320" w:bottom="1340" w:left="580" w:right="580"/>
        </w:sectPr>
      </w:pPr>
    </w:p>
    <w:p>
      <w:pPr>
        <w:pStyle w:val="BodyText"/>
        <w:spacing w:before="11"/>
        <w:rPr>
          <w:rFonts w:ascii="黑体"/>
          <w:sz w:val="22"/>
        </w:rPr>
      </w:pPr>
    </w:p>
    <w:p>
      <w:pPr>
        <w:pStyle w:val="ListParagraph"/>
        <w:numPr>
          <w:ilvl w:val="3"/>
          <w:numId w:val="8"/>
        </w:numPr>
        <w:tabs>
          <w:tab w:pos="1784" w:val="left" w:leader="none"/>
          <w:tab w:pos="1785" w:val="left" w:leader="none"/>
        </w:tabs>
        <w:spacing w:line="240" w:lineRule="auto" w:before="72" w:after="0"/>
        <w:ind w:left="1784" w:right="0" w:hanging="947"/>
        <w:jc w:val="left"/>
        <w:rPr>
          <w:rFonts w:ascii="黑体" w:eastAsia="黑体" w:hint="eastAsia"/>
          <w:sz w:val="21"/>
        </w:rPr>
      </w:pPr>
      <w:r>
        <w:rPr>
          <w:rFonts w:ascii="黑体" w:eastAsia="黑体" w:hint="eastAsia"/>
          <w:spacing w:val="-3"/>
          <w:sz w:val="21"/>
        </w:rPr>
        <w:t>数据取舍原则</w:t>
      </w:r>
    </w:p>
    <w:p>
      <w:pPr>
        <w:pStyle w:val="BodyText"/>
        <w:spacing w:before="11"/>
        <w:rPr>
          <w:rFonts w:ascii="黑体"/>
          <w:sz w:val="18"/>
        </w:rPr>
      </w:pPr>
    </w:p>
    <w:p>
      <w:pPr>
        <w:pStyle w:val="BodyText"/>
        <w:spacing w:line="244" w:lineRule="auto"/>
        <w:ind w:left="1258" w:right="3317"/>
      </w:pPr>
      <w:r>
        <w:rPr/>
        <w:t>单元过程数据种类很多，应对数据进行适当的取舍，原则如下： a） 能源的所有输入均列出； </w:t>
      </w:r>
    </w:p>
    <w:p>
      <w:pPr>
        <w:pStyle w:val="ListParagraph"/>
        <w:numPr>
          <w:ilvl w:val="0"/>
          <w:numId w:val="9"/>
        </w:numPr>
        <w:tabs>
          <w:tab w:pos="1577" w:val="left" w:leader="none"/>
        </w:tabs>
        <w:spacing w:line="265" w:lineRule="exact" w:before="0" w:after="0"/>
        <w:ind w:left="1576" w:right="0" w:hanging="319"/>
        <w:jc w:val="left"/>
        <w:rPr>
          <w:sz w:val="21"/>
        </w:rPr>
      </w:pPr>
      <w:r>
        <w:rPr>
          <w:spacing w:val="-3"/>
          <w:sz w:val="21"/>
        </w:rPr>
        <w:t>原料的所有输入均列出；</w:t>
      </w:r>
      <w:r>
        <w:rPr>
          <w:sz w:val="21"/>
        </w:rPr>
        <w:t> </w:t>
      </w:r>
    </w:p>
    <w:p>
      <w:pPr>
        <w:pStyle w:val="ListParagraph"/>
        <w:numPr>
          <w:ilvl w:val="0"/>
          <w:numId w:val="9"/>
        </w:numPr>
        <w:tabs>
          <w:tab w:pos="1577" w:val="left" w:leader="none"/>
        </w:tabs>
        <w:spacing w:line="242" w:lineRule="auto" w:before="5" w:after="0"/>
        <w:ind w:left="1258" w:right="3751" w:firstLine="0"/>
        <w:jc w:val="left"/>
        <w:rPr>
          <w:sz w:val="21"/>
        </w:rPr>
      </w:pPr>
      <w:r>
        <w:rPr>
          <w:spacing w:val="-7"/>
          <w:sz w:val="21"/>
        </w:rPr>
        <w:t>辅助材料质量小于原料总消耗 </w:t>
      </w:r>
      <w:r>
        <w:rPr>
          <w:sz w:val="21"/>
        </w:rPr>
        <w:t>0.1</w:t>
      </w:r>
      <w:r>
        <w:rPr>
          <w:rFonts w:ascii="Times New Roman" w:eastAsia="Times New Roman"/>
          <w:sz w:val="21"/>
        </w:rPr>
        <w:t>%</w:t>
      </w:r>
      <w:r>
        <w:rPr>
          <w:spacing w:val="-3"/>
          <w:sz w:val="21"/>
        </w:rPr>
        <w:t>的项目输入可忽略； </w:t>
      </w:r>
      <w:r>
        <w:rPr>
          <w:sz w:val="21"/>
        </w:rPr>
        <w:t>d）</w:t>
      </w:r>
      <w:r>
        <w:rPr>
          <w:spacing w:val="-3"/>
          <w:sz w:val="21"/>
        </w:rPr>
        <w:t> 大气、水体中的各种污染物排放均列出；</w:t>
      </w:r>
      <w:r>
        <w:rPr>
          <w:sz w:val="21"/>
        </w:rPr>
        <w:t> </w:t>
      </w:r>
    </w:p>
    <w:p>
      <w:pPr>
        <w:pStyle w:val="ListParagraph"/>
        <w:numPr>
          <w:ilvl w:val="0"/>
          <w:numId w:val="10"/>
        </w:numPr>
        <w:tabs>
          <w:tab w:pos="1577" w:val="left" w:leader="none"/>
        </w:tabs>
        <w:spacing w:line="240" w:lineRule="auto" w:before="1" w:after="0"/>
        <w:ind w:left="1576" w:right="0" w:hanging="319"/>
        <w:jc w:val="left"/>
        <w:rPr>
          <w:sz w:val="21"/>
        </w:rPr>
      </w:pPr>
      <w:r>
        <w:rPr>
          <w:spacing w:val="-8"/>
          <w:sz w:val="21"/>
        </w:rPr>
        <w:t>小于固体废弃物排放总量 </w:t>
      </w:r>
      <w:r>
        <w:rPr>
          <w:sz w:val="21"/>
        </w:rPr>
        <w:t>1</w:t>
      </w:r>
      <w:r>
        <w:rPr>
          <w:rFonts w:ascii="Times New Roman" w:eastAsia="Times New Roman"/>
          <w:sz w:val="21"/>
        </w:rPr>
        <w:t>%</w:t>
      </w:r>
      <w:r>
        <w:rPr>
          <w:spacing w:val="-3"/>
          <w:sz w:val="21"/>
        </w:rPr>
        <w:t>的一般性固体废弃物可忽略；</w:t>
      </w:r>
      <w:r>
        <w:rPr>
          <w:sz w:val="21"/>
        </w:rPr>
        <w:t> </w:t>
      </w:r>
    </w:p>
    <w:p>
      <w:pPr>
        <w:pStyle w:val="ListParagraph"/>
        <w:numPr>
          <w:ilvl w:val="0"/>
          <w:numId w:val="10"/>
        </w:numPr>
        <w:tabs>
          <w:tab w:pos="1577" w:val="left" w:leader="none"/>
        </w:tabs>
        <w:spacing w:line="244" w:lineRule="auto" w:before="2" w:after="0"/>
        <w:ind w:left="1258" w:right="721" w:firstLine="0"/>
        <w:jc w:val="left"/>
        <w:rPr>
          <w:sz w:val="21"/>
        </w:rPr>
      </w:pPr>
      <w:r>
        <w:rPr>
          <w:spacing w:val="-3"/>
          <w:sz w:val="21"/>
        </w:rPr>
        <w:t>道路与厂房的基础设施、各工序的设备、厂区内人员及生活设施的消耗和排放，均忽略； </w:t>
      </w:r>
      <w:r>
        <w:rPr>
          <w:sz w:val="21"/>
        </w:rPr>
        <w:t>g）</w:t>
      </w:r>
      <w:r>
        <w:rPr>
          <w:spacing w:val="-3"/>
          <w:sz w:val="21"/>
        </w:rPr>
        <w:t> 取舍原则不适用于有毒有害物质，任何有毒有害的材料和物质均应包含于清单中。 </w:t>
      </w:r>
    </w:p>
    <w:p>
      <w:pPr>
        <w:pStyle w:val="BodyText"/>
        <w:spacing w:before="5"/>
        <w:rPr>
          <w:sz w:val="18"/>
        </w:rPr>
      </w:pPr>
    </w:p>
    <w:p>
      <w:pPr>
        <w:pStyle w:val="ListParagraph"/>
        <w:numPr>
          <w:ilvl w:val="1"/>
          <w:numId w:val="7"/>
        </w:numPr>
        <w:tabs>
          <w:tab w:pos="1364" w:val="left" w:leader="none"/>
          <w:tab w:pos="1365" w:val="left" w:leader="none"/>
        </w:tabs>
        <w:spacing w:line="240" w:lineRule="auto" w:before="1" w:after="0"/>
        <w:ind w:left="1364" w:right="0" w:hanging="527"/>
        <w:jc w:val="left"/>
        <w:rPr>
          <w:rFonts w:ascii="黑体" w:eastAsia="黑体" w:hint="eastAsia"/>
          <w:sz w:val="21"/>
        </w:rPr>
      </w:pPr>
      <w:r>
        <w:rPr>
          <w:rFonts w:ascii="黑体" w:eastAsia="黑体" w:hint="eastAsia"/>
          <w:spacing w:val="-3"/>
          <w:sz w:val="21"/>
        </w:rPr>
        <w:t>生命周期清单分析</w:t>
      </w:r>
    </w:p>
    <w:p>
      <w:pPr>
        <w:pStyle w:val="BodyText"/>
        <w:spacing w:before="1"/>
        <w:rPr>
          <w:rFonts w:ascii="黑体"/>
          <w:sz w:val="19"/>
        </w:rPr>
      </w:pPr>
    </w:p>
    <w:p>
      <w:pPr>
        <w:pStyle w:val="ListParagraph"/>
        <w:numPr>
          <w:ilvl w:val="2"/>
          <w:numId w:val="11"/>
        </w:numPr>
        <w:tabs>
          <w:tab w:pos="1575" w:val="left" w:leader="none"/>
          <w:tab w:pos="1576" w:val="left" w:leader="none"/>
        </w:tabs>
        <w:spacing w:line="240" w:lineRule="auto" w:before="0" w:after="0"/>
        <w:ind w:left="1575" w:right="0" w:hanging="738"/>
        <w:jc w:val="left"/>
        <w:rPr>
          <w:rFonts w:ascii="黑体" w:eastAsia="黑体" w:hint="eastAsia"/>
          <w:sz w:val="21"/>
        </w:rPr>
      </w:pPr>
      <w:r>
        <w:rPr>
          <w:rFonts w:ascii="黑体" w:eastAsia="黑体" w:hint="eastAsia"/>
          <w:spacing w:val="-3"/>
          <w:sz w:val="21"/>
        </w:rPr>
        <w:t>总则</w:t>
      </w:r>
    </w:p>
    <w:p>
      <w:pPr>
        <w:pStyle w:val="BodyText"/>
        <w:spacing w:before="12"/>
        <w:rPr>
          <w:rFonts w:ascii="黑体"/>
          <w:sz w:val="18"/>
        </w:rPr>
      </w:pPr>
    </w:p>
    <w:p>
      <w:pPr>
        <w:pStyle w:val="BodyText"/>
        <w:spacing w:line="242" w:lineRule="auto"/>
        <w:ind w:left="838" w:right="558" w:firstLine="420"/>
      </w:pPr>
      <w:r>
        <w:rPr/>
        <w:t>编制城镇污泥干化碳化处理一体化装备产品系统边界内的所有材料、能源输入和排放到空气、水体及土壤的排放物清单，作为产品生命周期评价的依据。 </w:t>
      </w:r>
    </w:p>
    <w:p>
      <w:pPr>
        <w:pStyle w:val="BodyText"/>
        <w:spacing w:line="242" w:lineRule="auto" w:before="1"/>
        <w:ind w:left="838" w:right="350" w:firstLine="420"/>
      </w:pPr>
      <w:r>
        <w:rPr/>
        <w:t>书面给出所有的计算程序和计算公式，所做的假设给予明确说明。当数据收集完成后，对收集的  </w:t>
      </w:r>
      <w:r>
        <w:rPr>
          <w:spacing w:val="-1"/>
        </w:rPr>
        <w:t>数据进行审定。然后，确定每个单元过程的基本流，并据此计算出单元过程的定量输入和输出。此后， </w:t>
      </w:r>
      <w:r>
        <w:rPr/>
        <w:t>将各个单元过程的输入输出数据除以产品的产量，得到功能单位的资源消耗和环境排放。最后，将产  品各单元过程中相同影响因素的数据求和，以获取该影响因素的总量，为产品级的影响评价提供必要  的数据。数据收集范围应涵盖系统边界中的每一个单元过程，数据来源注明出处。数据收集包括现场  数据和背景数据的收集。通过测量、计算或估算用于量化单元过程输入和输出的数据，并给出数据的 </w:t>
      </w:r>
      <w:r>
        <w:rPr>
          <w:spacing w:val="-3"/>
        </w:rPr>
        <w:t>来源和获取过程。</w:t>
      </w:r>
      <w:r>
        <w:rPr/>
        <w:t> </w:t>
      </w:r>
    </w:p>
    <w:p>
      <w:pPr>
        <w:pStyle w:val="BodyText"/>
        <w:spacing w:before="4"/>
        <w:ind w:left="1258"/>
      </w:pPr>
      <w:r>
        <w:rPr/>
        <w:t>数据收集程序主要步骤包括： </w:t>
      </w:r>
    </w:p>
    <w:p>
      <w:pPr>
        <w:pStyle w:val="ListParagraph"/>
        <w:numPr>
          <w:ilvl w:val="3"/>
          <w:numId w:val="11"/>
        </w:numPr>
        <w:tabs>
          <w:tab w:pos="1596" w:val="left" w:leader="none"/>
        </w:tabs>
        <w:spacing w:line="242" w:lineRule="auto" w:before="4" w:after="0"/>
        <w:ind w:left="1698" w:right="551" w:hanging="420"/>
        <w:jc w:val="left"/>
        <w:rPr>
          <w:sz w:val="21"/>
        </w:rPr>
      </w:pPr>
      <w:r>
        <w:rPr>
          <w:sz w:val="21"/>
        </w:rPr>
        <w:t>设计数据收集表（</w:t>
      </w:r>
      <w:r>
        <w:rPr>
          <w:spacing w:val="10"/>
          <w:sz w:val="21"/>
        </w:rPr>
        <w:t>见附录 </w:t>
      </w:r>
      <w:r>
        <w:rPr>
          <w:sz w:val="21"/>
        </w:rPr>
        <w:t>C）</w:t>
      </w:r>
      <w:r>
        <w:rPr>
          <w:spacing w:val="-1"/>
          <w:sz w:val="21"/>
        </w:rPr>
        <w:t>；如果报送的数据有特殊情况、异常点或其他问题，在报告中</w:t>
      </w:r>
      <w:r>
        <w:rPr>
          <w:spacing w:val="-3"/>
          <w:sz w:val="21"/>
        </w:rPr>
        <w:t>进行明确说明；</w:t>
      </w:r>
      <w:r>
        <w:rPr>
          <w:sz w:val="21"/>
        </w:rPr>
        <w:t> </w:t>
      </w:r>
    </w:p>
    <w:p>
      <w:pPr>
        <w:pStyle w:val="ListParagraph"/>
        <w:numPr>
          <w:ilvl w:val="3"/>
          <w:numId w:val="11"/>
        </w:numPr>
        <w:tabs>
          <w:tab w:pos="1596" w:val="left" w:leader="none"/>
        </w:tabs>
        <w:spacing w:line="242" w:lineRule="auto" w:before="1" w:after="0"/>
        <w:ind w:left="1278" w:right="2426" w:firstLine="0"/>
        <w:jc w:val="left"/>
        <w:rPr>
          <w:sz w:val="21"/>
        </w:rPr>
      </w:pPr>
      <w:r>
        <w:rPr>
          <w:spacing w:val="-3"/>
          <w:sz w:val="21"/>
        </w:rPr>
        <w:t>根据数据收集准备的要求，由生产部门的技术人员完成数据收集工作； </w:t>
      </w:r>
      <w:r>
        <w:rPr>
          <w:sz w:val="21"/>
        </w:rPr>
        <w:t>c）</w:t>
      </w:r>
      <w:r>
        <w:rPr>
          <w:spacing w:val="-3"/>
          <w:sz w:val="21"/>
        </w:rPr>
        <w:t> 数据处理，即将收集的数据处理为功能单位的数据。 </w:t>
      </w:r>
    </w:p>
    <w:p>
      <w:pPr>
        <w:pStyle w:val="BodyText"/>
        <w:spacing w:before="11"/>
        <w:rPr>
          <w:sz w:val="18"/>
        </w:rPr>
      </w:pPr>
    </w:p>
    <w:p>
      <w:pPr>
        <w:pStyle w:val="ListParagraph"/>
        <w:numPr>
          <w:ilvl w:val="2"/>
          <w:numId w:val="11"/>
        </w:numPr>
        <w:tabs>
          <w:tab w:pos="1575" w:val="left" w:leader="none"/>
          <w:tab w:pos="1576" w:val="left" w:leader="none"/>
        </w:tabs>
        <w:spacing w:line="240" w:lineRule="auto" w:before="0" w:after="0"/>
        <w:ind w:left="1575" w:right="0" w:hanging="738"/>
        <w:jc w:val="left"/>
        <w:rPr>
          <w:rFonts w:ascii="黑体" w:eastAsia="黑体" w:hint="eastAsia"/>
          <w:sz w:val="21"/>
        </w:rPr>
      </w:pPr>
      <w:r>
        <w:rPr>
          <w:rFonts w:ascii="黑体" w:eastAsia="黑体" w:hint="eastAsia"/>
          <w:spacing w:val="-3"/>
          <w:sz w:val="21"/>
        </w:rPr>
        <w:t>数据收集</w:t>
      </w:r>
    </w:p>
    <w:p>
      <w:pPr>
        <w:pStyle w:val="BodyText"/>
        <w:spacing w:before="12"/>
        <w:rPr>
          <w:rFonts w:ascii="黑体"/>
          <w:sz w:val="18"/>
        </w:rPr>
      </w:pPr>
    </w:p>
    <w:p>
      <w:pPr>
        <w:pStyle w:val="ListParagraph"/>
        <w:numPr>
          <w:ilvl w:val="3"/>
          <w:numId w:val="12"/>
        </w:numPr>
        <w:tabs>
          <w:tab w:pos="1784" w:val="left" w:leader="none"/>
          <w:tab w:pos="1785" w:val="left" w:leader="none"/>
        </w:tabs>
        <w:spacing w:line="240" w:lineRule="auto" w:before="0" w:after="0"/>
        <w:ind w:left="1784" w:right="0" w:hanging="947"/>
        <w:jc w:val="left"/>
        <w:rPr>
          <w:rFonts w:ascii="黑体" w:eastAsia="黑体" w:hint="eastAsia"/>
          <w:sz w:val="21"/>
        </w:rPr>
      </w:pPr>
      <w:r>
        <w:rPr>
          <w:rFonts w:ascii="黑体" w:eastAsia="黑体" w:hint="eastAsia"/>
          <w:sz w:val="21"/>
        </w:rPr>
        <w:t>概况</w:t>
      </w:r>
    </w:p>
    <w:p>
      <w:pPr>
        <w:pStyle w:val="BodyText"/>
        <w:spacing w:before="1"/>
        <w:rPr>
          <w:rFonts w:ascii="黑体"/>
          <w:sz w:val="19"/>
        </w:rPr>
      </w:pPr>
    </w:p>
    <w:p>
      <w:pPr>
        <w:pStyle w:val="BodyText"/>
        <w:spacing w:line="242" w:lineRule="auto"/>
        <w:ind w:left="1258" w:right="6072"/>
      </w:pPr>
      <w:r>
        <w:rPr>
          <w:spacing w:val="-3"/>
        </w:rPr>
        <w:t>应将以下阶段的数据纳入数据清单： </w:t>
      </w:r>
      <w:r>
        <w:rPr/>
        <w:t>a） 原材料采购和预加工； </w:t>
      </w:r>
    </w:p>
    <w:p>
      <w:pPr>
        <w:pStyle w:val="ListParagraph"/>
        <w:numPr>
          <w:ilvl w:val="0"/>
          <w:numId w:val="13"/>
        </w:numPr>
        <w:tabs>
          <w:tab w:pos="1577" w:val="left" w:leader="none"/>
        </w:tabs>
        <w:spacing w:line="240" w:lineRule="auto" w:before="1" w:after="0"/>
        <w:ind w:left="1576" w:right="0" w:hanging="319"/>
        <w:jc w:val="left"/>
        <w:rPr>
          <w:sz w:val="21"/>
        </w:rPr>
      </w:pPr>
      <w:r>
        <w:rPr>
          <w:spacing w:val="-1"/>
          <w:sz w:val="21"/>
        </w:rPr>
        <w:t>生产；</w:t>
      </w:r>
      <w:r>
        <w:rPr>
          <w:sz w:val="21"/>
        </w:rPr>
        <w:t> </w:t>
      </w:r>
    </w:p>
    <w:p>
      <w:pPr>
        <w:pStyle w:val="ListParagraph"/>
        <w:numPr>
          <w:ilvl w:val="0"/>
          <w:numId w:val="13"/>
        </w:numPr>
        <w:tabs>
          <w:tab w:pos="1577" w:val="left" w:leader="none"/>
        </w:tabs>
        <w:spacing w:line="244" w:lineRule="auto" w:before="2" w:after="0"/>
        <w:ind w:left="1258" w:right="7236" w:firstLine="0"/>
        <w:jc w:val="left"/>
        <w:rPr>
          <w:sz w:val="21"/>
        </w:rPr>
      </w:pPr>
      <w:r>
        <w:rPr>
          <w:spacing w:val="-3"/>
          <w:sz w:val="21"/>
        </w:rPr>
        <w:t>产品分配和储存； </w:t>
      </w:r>
      <w:r>
        <w:rPr>
          <w:sz w:val="21"/>
        </w:rPr>
        <w:t>d）</w:t>
      </w:r>
      <w:r>
        <w:rPr>
          <w:spacing w:val="9"/>
          <w:sz w:val="21"/>
        </w:rPr>
        <w:t> 使用；</w:t>
      </w:r>
      <w:r>
        <w:rPr>
          <w:sz w:val="21"/>
        </w:rPr>
        <w:t> </w:t>
      </w:r>
    </w:p>
    <w:p>
      <w:pPr>
        <w:pStyle w:val="ListParagraph"/>
        <w:numPr>
          <w:ilvl w:val="0"/>
          <w:numId w:val="14"/>
        </w:numPr>
        <w:tabs>
          <w:tab w:pos="1577" w:val="left" w:leader="none"/>
        </w:tabs>
        <w:spacing w:line="265" w:lineRule="exact" w:before="0" w:after="0"/>
        <w:ind w:left="1576" w:right="0" w:hanging="319"/>
        <w:jc w:val="left"/>
        <w:rPr>
          <w:sz w:val="21"/>
        </w:rPr>
      </w:pPr>
      <w:r>
        <w:rPr>
          <w:spacing w:val="-1"/>
          <w:sz w:val="21"/>
        </w:rPr>
        <w:t>物流；</w:t>
      </w:r>
      <w:r>
        <w:rPr>
          <w:sz w:val="21"/>
        </w:rPr>
        <w:t> </w:t>
      </w:r>
    </w:p>
    <w:p>
      <w:pPr>
        <w:pStyle w:val="ListParagraph"/>
        <w:numPr>
          <w:ilvl w:val="0"/>
          <w:numId w:val="14"/>
        </w:numPr>
        <w:tabs>
          <w:tab w:pos="1577" w:val="left" w:leader="none"/>
        </w:tabs>
        <w:spacing w:line="240" w:lineRule="auto" w:before="3" w:after="0"/>
        <w:ind w:left="1576" w:right="0" w:hanging="319"/>
        <w:jc w:val="left"/>
        <w:rPr>
          <w:sz w:val="21"/>
        </w:rPr>
      </w:pPr>
      <w:r>
        <w:rPr>
          <w:spacing w:val="-2"/>
          <w:sz w:val="21"/>
        </w:rPr>
        <w:t>寿命终止。</w:t>
      </w:r>
      <w:r>
        <w:rPr>
          <w:sz w:val="21"/>
        </w:rPr>
        <w:t> </w:t>
      </w:r>
    </w:p>
    <w:p>
      <w:pPr>
        <w:pStyle w:val="BodyText"/>
        <w:spacing w:line="242" w:lineRule="auto" w:before="4"/>
        <w:ind w:left="838" w:right="338" w:firstLine="420"/>
      </w:pPr>
      <w:r>
        <w:rPr>
          <w:spacing w:val="7"/>
        </w:rPr>
        <w:t>基于 </w:t>
      </w:r>
      <w:r>
        <w:rPr/>
        <w:t>LCA</w:t>
      </w:r>
      <w:r>
        <w:rPr>
          <w:spacing w:val="-3"/>
        </w:rPr>
        <w:t> 的信息中要使用的数据可分为两类：现场数据和背景数据。主要数据尽量使用现场数据， “现场数据”收集缺乏，可以选择“背景数据”。现场数据是在现场具体操作过程中收集来的。主要  包括生产过程的能源与水资源消耗、产品原料的使用量、产品主要包装材料的使用量和废物产生量等。背景数据应当包括主要原料的生产数据、权威电力的组合数据（如火力、水、风力发电等）、过程中  造成的环境影响以及城镇污泥干化碳化处理一体化装备生产过程的排放数据。 </w:t>
      </w:r>
    </w:p>
    <w:p>
      <w:pPr>
        <w:pStyle w:val="BodyText"/>
        <w:spacing w:before="12"/>
        <w:rPr>
          <w:sz w:val="18"/>
        </w:rPr>
      </w:pPr>
    </w:p>
    <w:p>
      <w:pPr>
        <w:pStyle w:val="ListParagraph"/>
        <w:numPr>
          <w:ilvl w:val="3"/>
          <w:numId w:val="12"/>
        </w:numPr>
        <w:tabs>
          <w:tab w:pos="1784" w:val="left" w:leader="none"/>
          <w:tab w:pos="1785" w:val="left" w:leader="none"/>
        </w:tabs>
        <w:spacing w:line="240" w:lineRule="auto" w:before="0" w:after="0"/>
        <w:ind w:left="1784" w:right="0" w:hanging="947"/>
        <w:jc w:val="left"/>
        <w:rPr>
          <w:rFonts w:ascii="黑体" w:eastAsia="黑体" w:hint="eastAsia"/>
          <w:sz w:val="21"/>
        </w:rPr>
      </w:pPr>
      <w:r>
        <w:rPr>
          <w:rFonts w:ascii="黑体" w:eastAsia="黑体" w:hint="eastAsia"/>
          <w:spacing w:val="-3"/>
          <w:sz w:val="21"/>
        </w:rPr>
        <w:t>现场数据采集</w:t>
      </w:r>
    </w:p>
    <w:p>
      <w:pPr>
        <w:pStyle w:val="BodyText"/>
        <w:spacing w:before="1"/>
        <w:rPr>
          <w:rFonts w:ascii="黑体"/>
          <w:sz w:val="19"/>
        </w:rPr>
      </w:pPr>
    </w:p>
    <w:p>
      <w:pPr>
        <w:pStyle w:val="BodyText"/>
        <w:spacing w:line="242" w:lineRule="auto"/>
        <w:ind w:left="838" w:right="551" w:firstLine="420"/>
      </w:pPr>
      <w:r>
        <w:rPr/>
        <w:t>应描述代表某一特定设施或设施的活动而直接测量或收集的数据相关采集规程。可直接对过程进行的测量或者通过采访或问卷调查从经营者处获得的测量值为特定过程最具代表性的数据来源。现场</w:t>
      </w:r>
    </w:p>
    <w:p>
      <w:pPr>
        <w:spacing w:after="0" w:line="242" w:lineRule="auto"/>
        <w:sectPr>
          <w:pgSz w:w="11910" w:h="16840"/>
          <w:pgMar w:header="1138" w:footer="1141" w:top="1320" w:bottom="1340" w:left="580" w:right="580"/>
        </w:sectPr>
      </w:pPr>
    </w:p>
    <w:p>
      <w:pPr>
        <w:pStyle w:val="BodyText"/>
        <w:spacing w:before="11"/>
        <w:rPr>
          <w:sz w:val="22"/>
        </w:rPr>
      </w:pPr>
    </w:p>
    <w:p>
      <w:pPr>
        <w:pStyle w:val="BodyText"/>
        <w:spacing w:before="72"/>
        <w:ind w:left="552"/>
      </w:pPr>
      <w:r>
        <w:rPr/>
        <w:t>数据的质量要求包括： </w:t>
      </w:r>
    </w:p>
    <w:p>
      <w:pPr>
        <w:pStyle w:val="BodyText"/>
        <w:spacing w:line="244" w:lineRule="auto" w:before="2"/>
        <w:ind w:left="992" w:right="2113"/>
      </w:pPr>
      <w:r>
        <w:rPr/>
        <w:t>a） 代表性：现场数据应按照企业生产单元收集所确定范围内的生产统计数据； b） 完整性：现场数据应采集完整的生命周期要求数据； </w:t>
      </w:r>
    </w:p>
    <w:p>
      <w:pPr>
        <w:pStyle w:val="ListParagraph"/>
        <w:numPr>
          <w:ilvl w:val="0"/>
          <w:numId w:val="15"/>
        </w:numPr>
        <w:tabs>
          <w:tab w:pos="1311" w:val="left" w:leader="none"/>
        </w:tabs>
        <w:spacing w:line="242" w:lineRule="auto" w:before="0" w:after="0"/>
        <w:ind w:left="1412" w:right="839" w:hanging="420"/>
        <w:jc w:val="both"/>
        <w:rPr>
          <w:sz w:val="21"/>
        </w:rPr>
      </w:pPr>
      <w:r>
        <w:rPr>
          <w:spacing w:val="-1"/>
          <w:sz w:val="21"/>
        </w:rPr>
        <w:t>准确性：现场数据中的资源、能源、原材料消耗数据应该来自于生产单元的实际生产统计记 录；环境排放数据优先选择相关的环境监测报告，或由排污因子或物料平衡公式计算获得。所有现场数据均须转换为产品系统功能单位，且需要详细记录相关的原始数据、数据来源、</w:t>
      </w:r>
      <w:r>
        <w:rPr>
          <w:spacing w:val="-3"/>
          <w:sz w:val="21"/>
        </w:rPr>
        <w:t>计算过程等；</w:t>
      </w:r>
      <w:r>
        <w:rPr>
          <w:sz w:val="21"/>
        </w:rPr>
        <w:t> </w:t>
      </w:r>
    </w:p>
    <w:p>
      <w:pPr>
        <w:pStyle w:val="ListParagraph"/>
        <w:numPr>
          <w:ilvl w:val="0"/>
          <w:numId w:val="15"/>
        </w:numPr>
        <w:tabs>
          <w:tab w:pos="1311" w:val="left" w:leader="none"/>
        </w:tabs>
        <w:spacing w:line="244" w:lineRule="auto" w:before="0" w:after="0"/>
        <w:ind w:left="1412" w:right="839" w:hanging="420"/>
        <w:jc w:val="left"/>
        <w:rPr>
          <w:sz w:val="21"/>
        </w:rPr>
      </w:pPr>
      <w:r>
        <w:rPr>
          <w:spacing w:val="-1"/>
          <w:sz w:val="21"/>
        </w:rPr>
        <w:t>一致性：企业现场数据收集时应保持相同的数据来源、统计口径、处理规则等，典型现场数 </w:t>
      </w:r>
      <w:r>
        <w:rPr>
          <w:spacing w:val="-3"/>
          <w:sz w:val="21"/>
        </w:rPr>
        <w:t>据来源包括：</w:t>
      </w:r>
      <w:r>
        <w:rPr>
          <w:sz w:val="21"/>
        </w:rPr>
        <w:t> </w:t>
      </w:r>
    </w:p>
    <w:p>
      <w:pPr>
        <w:pStyle w:val="BodyText"/>
        <w:spacing w:line="265" w:lineRule="exact"/>
        <w:ind w:left="1393"/>
      </w:pPr>
      <w:r>
        <w:rPr>
          <w:rFonts w:ascii="Times New Roman" w:hAnsi="Times New Roman" w:eastAsia="Times New Roman"/>
        </w:rPr>
        <w:t>——</w:t>
      </w:r>
      <w:r>
        <w:rPr/>
        <w:t>原材料和零部件的采购和预加工； </w:t>
      </w:r>
    </w:p>
    <w:p>
      <w:pPr>
        <w:pStyle w:val="BodyText"/>
        <w:spacing w:before="3"/>
        <w:ind w:left="1393"/>
      </w:pPr>
      <w:r>
        <w:rPr>
          <w:rFonts w:ascii="Times New Roman" w:hAnsi="Times New Roman" w:eastAsia="Times New Roman"/>
        </w:rPr>
        <w:t>——</w:t>
      </w:r>
      <w:r>
        <w:rPr/>
        <w:t>原材料和零部件由原材料和零部件供应商运输至生产商处的运输数据； </w:t>
      </w:r>
    </w:p>
    <w:p>
      <w:pPr>
        <w:pStyle w:val="BodyText"/>
        <w:spacing w:before="2"/>
        <w:ind w:left="1393"/>
      </w:pPr>
      <w:r>
        <w:rPr>
          <w:rFonts w:ascii="Times New Roman" w:hAnsi="Times New Roman" w:eastAsia="Times New Roman"/>
        </w:rPr>
        <w:t>——</w:t>
      </w:r>
      <w:r>
        <w:rPr/>
        <w:t>产品生产过程的能源和水资源消耗数据； </w:t>
      </w:r>
    </w:p>
    <w:p>
      <w:pPr>
        <w:pStyle w:val="BodyText"/>
        <w:spacing w:before="2"/>
        <w:ind w:left="1393"/>
      </w:pPr>
      <w:r>
        <w:rPr>
          <w:rFonts w:ascii="Times New Roman" w:hAnsi="Times New Roman" w:eastAsia="Times New Roman"/>
        </w:rPr>
        <w:t>——</w:t>
      </w:r>
      <w:r>
        <w:rPr/>
        <w:t>原材料和零部件分配及用量数据； </w:t>
      </w:r>
    </w:p>
    <w:p>
      <w:pPr>
        <w:pStyle w:val="BodyText"/>
        <w:spacing w:before="5"/>
        <w:ind w:left="1393"/>
      </w:pPr>
      <w:r>
        <w:rPr>
          <w:rFonts w:ascii="Times New Roman" w:hAnsi="Times New Roman" w:eastAsia="Times New Roman"/>
        </w:rPr>
        <w:t>——</w:t>
      </w:r>
      <w:r>
        <w:rPr/>
        <w:t>产品包装材料数据； </w:t>
      </w:r>
    </w:p>
    <w:p>
      <w:pPr>
        <w:pStyle w:val="BodyText"/>
        <w:spacing w:before="3"/>
        <w:ind w:left="1393"/>
      </w:pPr>
      <w:r>
        <w:rPr>
          <w:rFonts w:ascii="Times New Roman" w:hAnsi="Times New Roman" w:eastAsia="Times New Roman"/>
        </w:rPr>
        <w:t>——</w:t>
      </w:r>
      <w:r>
        <w:rPr/>
        <w:t>城镇污泥干化碳化处理一体化装备由生产商处运输至客户处的运输数据； </w:t>
      </w:r>
    </w:p>
    <w:p>
      <w:pPr>
        <w:pStyle w:val="BodyText"/>
        <w:spacing w:before="4"/>
        <w:ind w:left="1393"/>
      </w:pPr>
      <w:r>
        <w:rPr>
          <w:rFonts w:ascii="Times New Roman" w:hAnsi="Times New Roman" w:eastAsia="Times New Roman"/>
        </w:rPr>
        <w:t>——</w:t>
      </w:r>
      <w:r>
        <w:rPr/>
        <w:t>回收处理数据。 </w:t>
      </w:r>
    </w:p>
    <w:p>
      <w:pPr>
        <w:pStyle w:val="BodyText"/>
        <w:spacing w:before="11"/>
        <w:rPr>
          <w:sz w:val="18"/>
        </w:rPr>
      </w:pPr>
    </w:p>
    <w:p>
      <w:pPr>
        <w:pStyle w:val="ListParagraph"/>
        <w:numPr>
          <w:ilvl w:val="3"/>
          <w:numId w:val="12"/>
        </w:numPr>
        <w:tabs>
          <w:tab w:pos="1498" w:val="left" w:leader="none"/>
          <w:tab w:pos="1499" w:val="left" w:leader="none"/>
        </w:tabs>
        <w:spacing w:line="240" w:lineRule="auto" w:before="1" w:after="0"/>
        <w:ind w:left="1498" w:right="0" w:hanging="947"/>
        <w:jc w:val="left"/>
        <w:rPr>
          <w:rFonts w:ascii="黑体" w:eastAsia="黑体" w:hint="eastAsia"/>
          <w:sz w:val="21"/>
        </w:rPr>
      </w:pPr>
      <w:r>
        <w:rPr>
          <w:rFonts w:ascii="黑体" w:eastAsia="黑体" w:hint="eastAsia"/>
          <w:spacing w:val="-3"/>
          <w:sz w:val="21"/>
        </w:rPr>
        <w:t>背景数据采集</w:t>
      </w:r>
    </w:p>
    <w:p>
      <w:pPr>
        <w:pStyle w:val="BodyText"/>
        <w:spacing w:before="1"/>
        <w:rPr>
          <w:rFonts w:ascii="黑体"/>
          <w:sz w:val="19"/>
        </w:rPr>
      </w:pPr>
    </w:p>
    <w:p>
      <w:pPr>
        <w:pStyle w:val="BodyText"/>
        <w:spacing w:line="242" w:lineRule="auto"/>
        <w:ind w:left="552" w:right="843" w:firstLine="420"/>
      </w:pPr>
      <w:r>
        <w:rPr/>
        <w:t>背景数据不是直接测量或计算而得到的数据。所使用数据的来源应有清楚的文件记载并载入产品生命周期评价报告。背景数据的质量要求包括： </w:t>
      </w:r>
    </w:p>
    <w:p>
      <w:pPr>
        <w:pStyle w:val="ListParagraph"/>
        <w:numPr>
          <w:ilvl w:val="4"/>
          <w:numId w:val="12"/>
        </w:numPr>
        <w:tabs>
          <w:tab w:pos="1311" w:val="left" w:leader="none"/>
        </w:tabs>
        <w:spacing w:line="242" w:lineRule="auto" w:before="1" w:after="0"/>
        <w:ind w:left="1412" w:right="832" w:hanging="420"/>
        <w:jc w:val="both"/>
        <w:rPr>
          <w:sz w:val="21"/>
        </w:rPr>
      </w:pPr>
      <w:r>
        <w:rPr>
          <w:spacing w:val="-3"/>
          <w:sz w:val="21"/>
        </w:rPr>
        <w:t>代表性：背景数据应优先选择企业的原材料供应商提供的符合相关 </w:t>
      </w:r>
      <w:r>
        <w:rPr>
          <w:sz w:val="21"/>
        </w:rPr>
        <w:t>LCA</w:t>
      </w:r>
      <w:r>
        <w:rPr>
          <w:spacing w:val="-3"/>
          <w:sz w:val="21"/>
        </w:rPr>
        <w:t> 标准要求的、经第三</w:t>
      </w:r>
      <w:r>
        <w:rPr>
          <w:spacing w:val="-2"/>
          <w:sz w:val="21"/>
        </w:rPr>
        <w:t>方独立验证的上游产品 </w:t>
      </w:r>
      <w:r>
        <w:rPr>
          <w:sz w:val="21"/>
        </w:rPr>
        <w:t>LCA</w:t>
      </w:r>
      <w:r>
        <w:rPr>
          <w:spacing w:val="-3"/>
          <w:sz w:val="21"/>
        </w:rPr>
        <w:t> 报告中的数据。若无，须优先选择代表中国国内平均生产水平的</w:t>
      </w:r>
      <w:r>
        <w:rPr>
          <w:spacing w:val="2"/>
          <w:sz w:val="21"/>
        </w:rPr>
        <w:t>公开 </w:t>
      </w:r>
      <w:r>
        <w:rPr>
          <w:sz w:val="21"/>
        </w:rPr>
        <w:t>LCA</w:t>
      </w:r>
      <w:r>
        <w:rPr>
          <w:spacing w:val="-3"/>
          <w:sz w:val="21"/>
        </w:rPr>
        <w:t> 数据，数据的参考年限应优先选择近年数据。在没有符合要求的中国国内数据的情况下，可以选择国外同类技术数据作为背景数据；</w:t>
      </w:r>
      <w:r>
        <w:rPr>
          <w:sz w:val="21"/>
        </w:rPr>
        <w:t> </w:t>
      </w:r>
    </w:p>
    <w:p>
      <w:pPr>
        <w:pStyle w:val="ListParagraph"/>
        <w:numPr>
          <w:ilvl w:val="4"/>
          <w:numId w:val="12"/>
        </w:numPr>
        <w:tabs>
          <w:tab w:pos="1311" w:val="left" w:leader="none"/>
        </w:tabs>
        <w:spacing w:line="240" w:lineRule="auto" w:before="3" w:after="0"/>
        <w:ind w:left="1310" w:right="0" w:hanging="319"/>
        <w:jc w:val="left"/>
        <w:rPr>
          <w:sz w:val="21"/>
        </w:rPr>
      </w:pPr>
      <w:r>
        <w:rPr>
          <w:spacing w:val="-3"/>
          <w:sz w:val="21"/>
        </w:rPr>
        <w:t>完整性：背景数据的系统边界应该从资源开采到这些原辅材料或能源产品出厂为止；</w:t>
      </w:r>
      <w:r>
        <w:rPr>
          <w:sz w:val="21"/>
        </w:rPr>
        <w:t> </w:t>
      </w:r>
    </w:p>
    <w:p>
      <w:pPr>
        <w:pStyle w:val="ListParagraph"/>
        <w:numPr>
          <w:ilvl w:val="4"/>
          <w:numId w:val="12"/>
        </w:numPr>
        <w:tabs>
          <w:tab w:pos="1311" w:val="left" w:leader="none"/>
        </w:tabs>
        <w:spacing w:line="244" w:lineRule="auto" w:before="2" w:after="0"/>
        <w:ind w:left="1412" w:right="839" w:hanging="420"/>
        <w:jc w:val="left"/>
        <w:rPr>
          <w:sz w:val="21"/>
        </w:rPr>
      </w:pPr>
      <w:r>
        <w:rPr>
          <w:spacing w:val="-1"/>
          <w:sz w:val="21"/>
        </w:rPr>
        <w:t>一致性：所有被选择的背景数据应完整覆盖本部分确定的生命周期清单因子，并且应将背景 </w:t>
      </w:r>
      <w:r>
        <w:rPr>
          <w:spacing w:val="-3"/>
          <w:sz w:val="21"/>
        </w:rPr>
        <w:t>数据转换为一致的物质名录后再进行计算。</w:t>
      </w:r>
      <w:r>
        <w:rPr>
          <w:sz w:val="21"/>
        </w:rPr>
        <w:t> </w:t>
      </w:r>
    </w:p>
    <w:p>
      <w:pPr>
        <w:pStyle w:val="BodyText"/>
        <w:spacing w:before="5"/>
        <w:rPr>
          <w:sz w:val="18"/>
        </w:rPr>
      </w:pPr>
    </w:p>
    <w:p>
      <w:pPr>
        <w:pStyle w:val="ListParagraph"/>
        <w:numPr>
          <w:ilvl w:val="3"/>
          <w:numId w:val="12"/>
        </w:numPr>
        <w:tabs>
          <w:tab w:pos="1498" w:val="left" w:leader="none"/>
          <w:tab w:pos="1499" w:val="left" w:leader="none"/>
        </w:tabs>
        <w:spacing w:line="240" w:lineRule="auto" w:before="0" w:after="0"/>
        <w:ind w:left="1498" w:right="0" w:hanging="947"/>
        <w:jc w:val="left"/>
        <w:rPr>
          <w:rFonts w:ascii="黑体" w:eastAsia="黑体" w:hint="eastAsia"/>
          <w:sz w:val="21"/>
        </w:rPr>
      </w:pPr>
      <w:r>
        <w:rPr>
          <w:rFonts w:ascii="黑体" w:eastAsia="黑体" w:hint="eastAsia"/>
          <w:spacing w:val="-3"/>
          <w:sz w:val="21"/>
        </w:rPr>
        <w:t>生命周期各阶段数据采集</w:t>
      </w:r>
    </w:p>
    <w:p>
      <w:pPr>
        <w:pStyle w:val="BodyText"/>
        <w:spacing w:before="1"/>
        <w:rPr>
          <w:rFonts w:ascii="黑体"/>
          <w:sz w:val="19"/>
        </w:rPr>
      </w:pPr>
    </w:p>
    <w:p>
      <w:pPr>
        <w:pStyle w:val="BodyText"/>
        <w:spacing w:before="1"/>
        <w:ind w:left="973"/>
      </w:pPr>
      <w:r>
        <w:rPr/>
        <w:t>数据采集包括以下生命周期阶段： </w:t>
      </w:r>
    </w:p>
    <w:p>
      <w:pPr>
        <w:pStyle w:val="ListParagraph"/>
        <w:numPr>
          <w:ilvl w:val="0"/>
          <w:numId w:val="16"/>
        </w:numPr>
        <w:tabs>
          <w:tab w:pos="1311" w:val="left" w:leader="none"/>
        </w:tabs>
        <w:spacing w:line="240" w:lineRule="auto" w:before="2" w:after="0"/>
        <w:ind w:left="1310" w:right="0" w:hanging="319"/>
        <w:jc w:val="left"/>
        <w:rPr>
          <w:sz w:val="21"/>
        </w:rPr>
      </w:pPr>
      <w:r>
        <w:rPr>
          <w:spacing w:val="-3"/>
          <w:sz w:val="21"/>
        </w:rPr>
        <w:t>设计：该阶段始于客户需求分析，最终确定产品参数和生产工艺；</w:t>
      </w:r>
      <w:r>
        <w:rPr>
          <w:sz w:val="21"/>
        </w:rPr>
        <w:t> </w:t>
      </w:r>
    </w:p>
    <w:p>
      <w:pPr>
        <w:pStyle w:val="ListParagraph"/>
        <w:numPr>
          <w:ilvl w:val="0"/>
          <w:numId w:val="16"/>
        </w:numPr>
        <w:tabs>
          <w:tab w:pos="1311" w:val="left" w:leader="none"/>
        </w:tabs>
        <w:spacing w:line="242" w:lineRule="auto" w:before="4" w:after="0"/>
        <w:ind w:left="1412" w:right="838" w:hanging="420"/>
        <w:jc w:val="left"/>
        <w:rPr>
          <w:sz w:val="21"/>
        </w:rPr>
      </w:pPr>
      <w:r>
        <w:rPr>
          <w:spacing w:val="-1"/>
          <w:sz w:val="21"/>
        </w:rPr>
        <w:t>资源获取：该阶段始于从大自然提取资源，结束于资源进入产品生产设施，包括但不限于原 </w:t>
      </w:r>
      <w:r>
        <w:rPr>
          <w:spacing w:val="-3"/>
          <w:sz w:val="21"/>
        </w:rPr>
        <w:t>材料和零部件的采购、运输；</w:t>
      </w:r>
      <w:r>
        <w:rPr>
          <w:sz w:val="21"/>
        </w:rPr>
        <w:t> </w:t>
      </w:r>
    </w:p>
    <w:p>
      <w:pPr>
        <w:pStyle w:val="ListParagraph"/>
        <w:numPr>
          <w:ilvl w:val="0"/>
          <w:numId w:val="16"/>
        </w:numPr>
        <w:tabs>
          <w:tab w:pos="1311" w:val="left" w:leader="none"/>
        </w:tabs>
        <w:spacing w:line="242" w:lineRule="auto" w:before="2" w:after="0"/>
        <w:ind w:left="1412" w:right="839" w:hanging="420"/>
        <w:jc w:val="left"/>
        <w:rPr>
          <w:sz w:val="21"/>
        </w:rPr>
      </w:pPr>
      <w:r>
        <w:rPr>
          <w:spacing w:val="-1"/>
          <w:sz w:val="21"/>
        </w:rPr>
        <w:t>生产：该阶段始于原材料和零部件进入生产设施，结束于成品离开生产设施。生产活动包括 </w:t>
      </w:r>
      <w:r>
        <w:rPr>
          <w:spacing w:val="-3"/>
          <w:sz w:val="21"/>
        </w:rPr>
        <w:t>下料、机械加工、焊接、装配、喷涂、组装、调试、包装运输等步骤；</w:t>
      </w:r>
      <w:r>
        <w:rPr>
          <w:sz w:val="21"/>
        </w:rPr>
        <w:t> </w:t>
      </w:r>
    </w:p>
    <w:p>
      <w:pPr>
        <w:pStyle w:val="ListParagraph"/>
        <w:numPr>
          <w:ilvl w:val="0"/>
          <w:numId w:val="16"/>
        </w:numPr>
        <w:tabs>
          <w:tab w:pos="1311" w:val="left" w:leader="none"/>
        </w:tabs>
        <w:spacing w:line="268" w:lineRule="exact" w:before="0" w:after="0"/>
        <w:ind w:left="1310" w:right="0" w:hanging="319"/>
        <w:jc w:val="left"/>
        <w:rPr>
          <w:sz w:val="21"/>
        </w:rPr>
      </w:pPr>
      <w:r>
        <w:rPr>
          <w:spacing w:val="-3"/>
          <w:sz w:val="21"/>
        </w:rPr>
        <w:t>使用：该阶段始于消费者或终端用户拥有产品，结束于用户终止使用；</w:t>
      </w:r>
      <w:r>
        <w:rPr>
          <w:sz w:val="21"/>
        </w:rPr>
        <w:t> </w:t>
      </w:r>
    </w:p>
    <w:p>
      <w:pPr>
        <w:pStyle w:val="ListParagraph"/>
        <w:numPr>
          <w:ilvl w:val="0"/>
          <w:numId w:val="16"/>
        </w:numPr>
        <w:tabs>
          <w:tab w:pos="1311" w:val="left" w:leader="none"/>
        </w:tabs>
        <w:spacing w:line="240" w:lineRule="auto" w:before="4" w:after="0"/>
        <w:ind w:left="1310" w:right="0" w:hanging="319"/>
        <w:jc w:val="left"/>
        <w:rPr>
          <w:sz w:val="21"/>
        </w:rPr>
      </w:pPr>
      <w:r>
        <w:rPr>
          <w:spacing w:val="-3"/>
          <w:sz w:val="21"/>
        </w:rPr>
        <w:t>废弃处理：考虑废弃的城镇污泥干化碳化处理一体化装备的结构件及其他废弃物处理方式。</w:t>
      </w:r>
      <w:r>
        <w:rPr>
          <w:sz w:val="21"/>
        </w:rPr>
        <w:t> </w:t>
      </w:r>
    </w:p>
    <w:p>
      <w:pPr>
        <w:pStyle w:val="BodyText"/>
        <w:spacing w:before="11"/>
        <w:rPr>
          <w:sz w:val="18"/>
        </w:rPr>
      </w:pPr>
    </w:p>
    <w:p>
      <w:pPr>
        <w:pStyle w:val="ListParagraph"/>
        <w:numPr>
          <w:ilvl w:val="2"/>
          <w:numId w:val="11"/>
        </w:numPr>
        <w:tabs>
          <w:tab w:pos="1289" w:val="left" w:leader="none"/>
          <w:tab w:pos="1291" w:val="left" w:leader="none"/>
        </w:tabs>
        <w:spacing w:line="240" w:lineRule="auto" w:before="1" w:after="0"/>
        <w:ind w:left="1290" w:right="0" w:hanging="739"/>
        <w:jc w:val="left"/>
        <w:rPr>
          <w:rFonts w:ascii="黑体" w:eastAsia="黑体" w:hint="eastAsia"/>
          <w:sz w:val="21"/>
        </w:rPr>
      </w:pPr>
      <w:r>
        <w:rPr>
          <w:rFonts w:ascii="黑体" w:eastAsia="黑体" w:hint="eastAsia"/>
          <w:spacing w:val="-3"/>
          <w:sz w:val="21"/>
        </w:rPr>
        <w:t>数据处理</w:t>
      </w:r>
    </w:p>
    <w:p>
      <w:pPr>
        <w:pStyle w:val="BodyText"/>
        <w:spacing w:before="1"/>
        <w:rPr>
          <w:rFonts w:ascii="黑体"/>
          <w:sz w:val="19"/>
        </w:rPr>
      </w:pPr>
    </w:p>
    <w:p>
      <w:pPr>
        <w:pStyle w:val="BodyText"/>
        <w:spacing w:line="242" w:lineRule="auto"/>
        <w:ind w:left="552" w:right="843" w:firstLine="420"/>
      </w:pPr>
      <w:r>
        <w:rPr/>
        <w:t>数据收集后，对所收集数据的有效性进行检查，确保数据符合质量要求。将收集的数据与单元过程进行关联，同时与功能单位的基本流进行关联。 </w:t>
      </w:r>
    </w:p>
    <w:p>
      <w:pPr>
        <w:pStyle w:val="BodyText"/>
        <w:spacing w:line="242" w:lineRule="auto" w:before="2"/>
        <w:ind w:left="552" w:right="843" w:firstLine="420"/>
      </w:pPr>
      <w:r>
        <w:rPr/>
        <w:t>合并来自相同数据类型、相同物质、不同单元过程的数据，以得到整个产品系统的能源消耗、原材料消耗以及空气排放、水体排放和土壤排放数据。 </w:t>
      </w:r>
    </w:p>
    <w:p>
      <w:pPr>
        <w:pStyle w:val="BodyText"/>
        <w:spacing w:before="10"/>
        <w:rPr>
          <w:sz w:val="18"/>
        </w:rPr>
      </w:pPr>
    </w:p>
    <w:p>
      <w:pPr>
        <w:pStyle w:val="ListParagraph"/>
        <w:numPr>
          <w:ilvl w:val="2"/>
          <w:numId w:val="11"/>
        </w:numPr>
        <w:tabs>
          <w:tab w:pos="1289" w:val="left" w:leader="none"/>
          <w:tab w:pos="1291" w:val="left" w:leader="none"/>
        </w:tabs>
        <w:spacing w:line="240" w:lineRule="auto" w:before="0" w:after="0"/>
        <w:ind w:left="1290" w:right="0" w:hanging="739"/>
        <w:jc w:val="left"/>
        <w:rPr>
          <w:rFonts w:ascii="黑体" w:eastAsia="黑体" w:hint="eastAsia"/>
          <w:sz w:val="21"/>
        </w:rPr>
      </w:pPr>
      <w:r>
        <w:rPr>
          <w:rFonts w:ascii="黑体" w:eastAsia="黑体" w:hint="eastAsia"/>
          <w:spacing w:val="-3"/>
          <w:sz w:val="21"/>
        </w:rPr>
        <w:t>数据分配</w:t>
      </w:r>
    </w:p>
    <w:p>
      <w:pPr>
        <w:pStyle w:val="BodyText"/>
        <w:spacing w:before="12"/>
        <w:rPr>
          <w:rFonts w:ascii="黑体"/>
          <w:sz w:val="18"/>
        </w:rPr>
      </w:pPr>
    </w:p>
    <w:p>
      <w:pPr>
        <w:pStyle w:val="BodyText"/>
        <w:spacing w:line="244" w:lineRule="auto"/>
        <w:ind w:left="552" w:right="841" w:firstLine="420"/>
      </w:pPr>
      <w:r>
        <w:rPr/>
        <w:t>在进行城镇污泥干化碳化处理一体化装备生命周期评价的过程中涉及到数据分配问题，特别是城镇污泥干化碳化处理一体化装备的生产环节。对于城镇污泥干化碳化处理一体化装备生产而言，由于</w:t>
      </w:r>
    </w:p>
    <w:p>
      <w:pPr>
        <w:spacing w:after="0" w:line="244" w:lineRule="auto"/>
        <w:sectPr>
          <w:pgSz w:w="11910" w:h="16840"/>
          <w:pgMar w:header="1138" w:footer="1141" w:top="1320" w:bottom="1340" w:left="580" w:right="580"/>
        </w:sectPr>
      </w:pPr>
    </w:p>
    <w:p>
      <w:pPr>
        <w:pStyle w:val="BodyText"/>
        <w:spacing w:before="11"/>
        <w:rPr>
          <w:sz w:val="22"/>
        </w:rPr>
      </w:pPr>
    </w:p>
    <w:p>
      <w:pPr>
        <w:pStyle w:val="BodyText"/>
        <w:spacing w:line="242" w:lineRule="auto" w:before="72"/>
        <w:ind w:left="838" w:right="549"/>
        <w:jc w:val="both"/>
      </w:pPr>
      <w:r>
        <w:rPr/>
        <w:t>厂家往往同时生产多种类型的产品，一条流水线上或一个车间里会同时生产多种型号产品。很难就单个型号的产品生产来收集清单数据，往往会就某个车间、某条流水线或某个工艺来收集数据，然后再分配到具体的产品上。针对城镇污泥干化碳化处理一体化装备生产阶段，因生产产品时，每条生产线同一时间段一般只生产一种产品，选取“时间分配”作为分摊的比例，即占用时间越多，其分摊额度就越大。 </w:t>
      </w:r>
    </w:p>
    <w:p>
      <w:pPr>
        <w:pStyle w:val="BodyText"/>
        <w:spacing w:before="11"/>
        <w:rPr>
          <w:sz w:val="18"/>
        </w:rPr>
      </w:pPr>
    </w:p>
    <w:p>
      <w:pPr>
        <w:pStyle w:val="ListParagraph"/>
        <w:numPr>
          <w:ilvl w:val="2"/>
          <w:numId w:val="11"/>
        </w:numPr>
        <w:tabs>
          <w:tab w:pos="1575" w:val="left" w:leader="none"/>
          <w:tab w:pos="1576" w:val="left" w:leader="none"/>
        </w:tabs>
        <w:spacing w:line="240" w:lineRule="auto" w:before="0" w:after="0"/>
        <w:ind w:left="1575" w:right="0" w:hanging="738"/>
        <w:jc w:val="left"/>
        <w:rPr>
          <w:rFonts w:ascii="黑体" w:eastAsia="黑体" w:hint="eastAsia"/>
          <w:sz w:val="21"/>
        </w:rPr>
      </w:pPr>
      <w:r>
        <w:rPr>
          <w:rFonts w:ascii="黑体" w:eastAsia="黑体" w:hint="eastAsia"/>
          <w:spacing w:val="-3"/>
          <w:sz w:val="21"/>
        </w:rPr>
        <w:t>数据计算</w:t>
      </w:r>
    </w:p>
    <w:p>
      <w:pPr>
        <w:pStyle w:val="BodyText"/>
        <w:spacing w:before="1"/>
        <w:rPr>
          <w:rFonts w:ascii="黑体"/>
          <w:sz w:val="19"/>
        </w:rPr>
      </w:pPr>
    </w:p>
    <w:p>
      <w:pPr>
        <w:pStyle w:val="ListParagraph"/>
        <w:numPr>
          <w:ilvl w:val="3"/>
          <w:numId w:val="17"/>
        </w:numPr>
        <w:tabs>
          <w:tab w:pos="1784" w:val="left" w:leader="none"/>
          <w:tab w:pos="1785" w:val="left" w:leader="none"/>
        </w:tabs>
        <w:spacing w:line="240" w:lineRule="auto" w:before="0" w:after="0"/>
        <w:ind w:left="1784" w:right="0" w:hanging="947"/>
        <w:jc w:val="left"/>
        <w:rPr>
          <w:rFonts w:ascii="黑体" w:eastAsia="黑体" w:hint="eastAsia"/>
          <w:sz w:val="21"/>
        </w:rPr>
      </w:pPr>
      <w:r>
        <w:rPr>
          <w:rFonts w:ascii="黑体" w:eastAsia="黑体" w:hint="eastAsia"/>
          <w:spacing w:val="-2"/>
          <w:sz w:val="21"/>
        </w:rPr>
        <w:t>数据分析</w:t>
      </w:r>
    </w:p>
    <w:p>
      <w:pPr>
        <w:pStyle w:val="BodyText"/>
        <w:spacing w:before="12"/>
        <w:rPr>
          <w:rFonts w:ascii="黑体"/>
          <w:sz w:val="18"/>
        </w:rPr>
      </w:pPr>
    </w:p>
    <w:p>
      <w:pPr>
        <w:pStyle w:val="BodyText"/>
        <w:ind w:left="1258"/>
      </w:pPr>
      <w:r>
        <w:rPr/>
        <w:t>根据表 C.1～表 C.8 对应需要的数据进行填报。 </w:t>
      </w:r>
    </w:p>
    <w:p>
      <w:pPr>
        <w:pStyle w:val="ListParagraph"/>
        <w:numPr>
          <w:ilvl w:val="4"/>
          <w:numId w:val="17"/>
        </w:numPr>
        <w:tabs>
          <w:tab w:pos="1596" w:val="left" w:leader="none"/>
        </w:tabs>
        <w:spacing w:line="242" w:lineRule="auto" w:before="4" w:after="0"/>
        <w:ind w:left="1698" w:right="554" w:hanging="420"/>
        <w:jc w:val="left"/>
        <w:rPr>
          <w:sz w:val="21"/>
        </w:rPr>
      </w:pPr>
      <w:r>
        <w:rPr>
          <w:spacing w:val="-1"/>
          <w:sz w:val="21"/>
        </w:rPr>
        <w:t>现场数据可通过企业调研、上游厂家提供、采样监测等途径进行收集，所收集的数据要求为 </w:t>
      </w:r>
      <w:r>
        <w:rPr>
          <w:spacing w:val="-3"/>
          <w:sz w:val="21"/>
        </w:rPr>
        <w:t>企业三年平均统计数据，并能够反映企业的实际生产水平；</w:t>
      </w:r>
      <w:r>
        <w:rPr>
          <w:sz w:val="21"/>
        </w:rPr>
        <w:t> </w:t>
      </w:r>
    </w:p>
    <w:p>
      <w:pPr>
        <w:pStyle w:val="ListParagraph"/>
        <w:numPr>
          <w:ilvl w:val="4"/>
          <w:numId w:val="17"/>
        </w:numPr>
        <w:tabs>
          <w:tab w:pos="1596" w:val="left" w:leader="none"/>
        </w:tabs>
        <w:spacing w:line="242" w:lineRule="auto" w:before="2" w:after="0"/>
        <w:ind w:left="1698" w:right="347" w:hanging="420"/>
        <w:jc w:val="left"/>
        <w:rPr>
          <w:sz w:val="21"/>
        </w:rPr>
      </w:pPr>
      <w:r>
        <w:rPr>
          <w:sz w:val="21"/>
        </w:rPr>
        <w:t>从实际调研过程中无法获得的数据，即背景数据，采用相关数据库进行替代，在这一步骤中  </w:t>
      </w:r>
      <w:r>
        <w:rPr>
          <w:spacing w:val="-1"/>
          <w:sz w:val="21"/>
        </w:rPr>
        <w:t>所涉及到的单元过程包括城镇污泥干化碳化处理一体化装备原材料及产品的生产、包装材料、</w:t>
      </w:r>
      <w:r>
        <w:rPr>
          <w:spacing w:val="-3"/>
          <w:sz w:val="21"/>
        </w:rPr>
        <w:t>能源消耗以及产品的运输。 </w:t>
      </w:r>
    </w:p>
    <w:p>
      <w:pPr>
        <w:pStyle w:val="BodyText"/>
        <w:spacing w:before="10"/>
        <w:rPr>
          <w:sz w:val="18"/>
        </w:rPr>
      </w:pPr>
    </w:p>
    <w:p>
      <w:pPr>
        <w:pStyle w:val="ListParagraph"/>
        <w:numPr>
          <w:ilvl w:val="3"/>
          <w:numId w:val="17"/>
        </w:numPr>
        <w:tabs>
          <w:tab w:pos="1784" w:val="left" w:leader="none"/>
          <w:tab w:pos="1785" w:val="left" w:leader="none"/>
        </w:tabs>
        <w:spacing w:line="240" w:lineRule="auto" w:before="0" w:after="0"/>
        <w:ind w:left="1784" w:right="0" w:hanging="947"/>
        <w:jc w:val="left"/>
        <w:rPr>
          <w:rFonts w:ascii="黑体" w:eastAsia="黑体" w:hint="eastAsia"/>
          <w:sz w:val="21"/>
        </w:rPr>
      </w:pPr>
      <w:r>
        <w:rPr>
          <w:rFonts w:ascii="黑体" w:eastAsia="黑体" w:hint="eastAsia"/>
          <w:spacing w:val="-2"/>
          <w:sz w:val="21"/>
        </w:rPr>
        <w:t>清单分析</w:t>
      </w:r>
    </w:p>
    <w:p>
      <w:pPr>
        <w:pStyle w:val="BodyText"/>
        <w:spacing w:before="12"/>
        <w:rPr>
          <w:rFonts w:ascii="黑体"/>
          <w:sz w:val="18"/>
        </w:rPr>
      </w:pPr>
    </w:p>
    <w:p>
      <w:pPr>
        <w:pStyle w:val="BodyText"/>
        <w:spacing w:line="242" w:lineRule="auto"/>
        <w:ind w:left="838" w:right="555" w:firstLine="420"/>
        <w:jc w:val="both"/>
      </w:pPr>
      <w:r>
        <w:rPr/>
        <w:t>所收集的数据进行核实后，利用生命周期评估软件进行数据分析处理，用以建立生命周期评价科学完整的计算程序。通过建立各个过程单元模块，输入各过程单元的数据，可得到全部输入与输出物质和排放清单，选择表 B.1 中各个清单因子的量，为分类评价做准备。 </w:t>
      </w:r>
    </w:p>
    <w:p>
      <w:pPr>
        <w:pStyle w:val="BodyText"/>
        <w:spacing w:before="12"/>
        <w:rPr>
          <w:sz w:val="18"/>
        </w:rPr>
      </w:pPr>
    </w:p>
    <w:p>
      <w:pPr>
        <w:pStyle w:val="ListParagraph"/>
        <w:numPr>
          <w:ilvl w:val="1"/>
          <w:numId w:val="7"/>
        </w:numPr>
        <w:tabs>
          <w:tab w:pos="1364" w:val="left" w:leader="none"/>
          <w:tab w:pos="1365" w:val="left" w:leader="none"/>
        </w:tabs>
        <w:spacing w:line="240" w:lineRule="auto" w:before="1" w:after="0"/>
        <w:ind w:left="1364" w:right="0" w:hanging="527"/>
        <w:jc w:val="left"/>
        <w:rPr>
          <w:rFonts w:ascii="黑体" w:eastAsia="黑体" w:hint="eastAsia"/>
          <w:sz w:val="21"/>
        </w:rPr>
      </w:pPr>
      <w:r>
        <w:rPr>
          <w:rFonts w:ascii="黑体" w:eastAsia="黑体" w:hint="eastAsia"/>
          <w:spacing w:val="-3"/>
          <w:sz w:val="21"/>
        </w:rPr>
        <w:t>生命周期影响评价</w:t>
      </w:r>
    </w:p>
    <w:p>
      <w:pPr>
        <w:pStyle w:val="BodyText"/>
        <w:spacing w:before="11"/>
        <w:rPr>
          <w:rFonts w:ascii="黑体"/>
          <w:sz w:val="18"/>
        </w:rPr>
      </w:pPr>
    </w:p>
    <w:p>
      <w:pPr>
        <w:pStyle w:val="ListParagraph"/>
        <w:numPr>
          <w:ilvl w:val="2"/>
          <w:numId w:val="18"/>
        </w:numPr>
        <w:tabs>
          <w:tab w:pos="1575" w:val="left" w:leader="none"/>
          <w:tab w:pos="1576" w:val="left" w:leader="none"/>
        </w:tabs>
        <w:spacing w:line="240" w:lineRule="auto" w:before="0" w:after="0"/>
        <w:ind w:left="1575" w:right="0" w:hanging="738"/>
        <w:jc w:val="left"/>
        <w:rPr>
          <w:rFonts w:ascii="黑体" w:eastAsia="黑体" w:hint="eastAsia"/>
          <w:sz w:val="21"/>
        </w:rPr>
      </w:pPr>
      <w:r>
        <w:rPr>
          <w:rFonts w:ascii="黑体" w:eastAsia="黑体" w:hint="eastAsia"/>
          <w:spacing w:val="-3"/>
          <w:sz w:val="21"/>
        </w:rPr>
        <w:t>影响类型</w:t>
      </w:r>
    </w:p>
    <w:p>
      <w:pPr>
        <w:pStyle w:val="BodyText"/>
        <w:spacing w:before="1"/>
        <w:rPr>
          <w:rFonts w:ascii="黑体"/>
          <w:sz w:val="19"/>
        </w:rPr>
      </w:pPr>
    </w:p>
    <w:p>
      <w:pPr>
        <w:pStyle w:val="BodyText"/>
        <w:spacing w:line="242" w:lineRule="auto"/>
        <w:ind w:left="838" w:right="558" w:firstLine="420"/>
        <w:jc w:val="both"/>
      </w:pPr>
      <w:r>
        <w:rPr/>
        <w:t>城镇污泥干化碳化处理一体化装备产品的影响类型选取气候变化、能源消耗、金属资源消耗、酸化 4 个指标。 </w:t>
      </w:r>
    </w:p>
    <w:p>
      <w:pPr>
        <w:pStyle w:val="BodyText"/>
        <w:spacing w:before="11"/>
        <w:rPr>
          <w:sz w:val="18"/>
        </w:rPr>
      </w:pPr>
    </w:p>
    <w:p>
      <w:pPr>
        <w:pStyle w:val="ListParagraph"/>
        <w:numPr>
          <w:ilvl w:val="2"/>
          <w:numId w:val="18"/>
        </w:numPr>
        <w:tabs>
          <w:tab w:pos="1575" w:val="left" w:leader="none"/>
          <w:tab w:pos="1576" w:val="left" w:leader="none"/>
        </w:tabs>
        <w:spacing w:line="240" w:lineRule="auto" w:before="0" w:after="0"/>
        <w:ind w:left="1575" w:right="0" w:hanging="738"/>
        <w:jc w:val="left"/>
        <w:rPr>
          <w:rFonts w:ascii="黑体" w:eastAsia="黑体" w:hint="eastAsia"/>
          <w:sz w:val="21"/>
        </w:rPr>
      </w:pPr>
      <w:r>
        <w:rPr>
          <w:rFonts w:ascii="黑体" w:eastAsia="黑体" w:hint="eastAsia"/>
          <w:spacing w:val="-3"/>
          <w:sz w:val="21"/>
        </w:rPr>
        <w:t>清单因子归类</w:t>
      </w:r>
    </w:p>
    <w:p>
      <w:pPr>
        <w:pStyle w:val="BodyText"/>
        <w:spacing w:before="12"/>
        <w:rPr>
          <w:rFonts w:ascii="黑体"/>
          <w:sz w:val="18"/>
        </w:rPr>
      </w:pPr>
    </w:p>
    <w:p>
      <w:pPr>
        <w:pStyle w:val="BodyText"/>
        <w:ind w:left="1258"/>
      </w:pPr>
      <w:r>
        <w:rPr/>
        <w:t>根据清单因子的物理化学性质，将对某影响类型有贡献的因子归到一起。具体见表 B.1。 </w:t>
      </w:r>
    </w:p>
    <w:p>
      <w:pPr>
        <w:pStyle w:val="BodyText"/>
        <w:tabs>
          <w:tab w:pos="1077" w:val="left" w:leader="none"/>
        </w:tabs>
        <w:spacing w:before="124"/>
        <w:ind w:left="287"/>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B.1</w:t>
        <w:tab/>
      </w:r>
      <w:r>
        <w:rPr>
          <w:rFonts w:ascii="黑体" w:eastAsia="黑体" w:hint="eastAsia"/>
          <w:spacing w:val="-3"/>
        </w:rPr>
        <w:t>城</w:t>
      </w:r>
      <w:r>
        <w:rPr>
          <w:rFonts w:ascii="黑体" w:eastAsia="黑体" w:hint="eastAsia"/>
        </w:rPr>
        <w:t>镇</w:t>
      </w:r>
      <w:r>
        <w:rPr>
          <w:rFonts w:ascii="黑体" w:eastAsia="黑体" w:hint="eastAsia"/>
          <w:spacing w:val="-3"/>
        </w:rPr>
        <w:t>污</w:t>
      </w:r>
      <w:r>
        <w:rPr>
          <w:rFonts w:ascii="黑体" w:eastAsia="黑体" w:hint="eastAsia"/>
        </w:rPr>
        <w:t>泥干化</w:t>
      </w:r>
      <w:r>
        <w:rPr>
          <w:rFonts w:ascii="黑体" w:eastAsia="黑体" w:hint="eastAsia"/>
          <w:spacing w:val="-3"/>
        </w:rPr>
        <w:t>碳</w:t>
      </w:r>
      <w:r>
        <w:rPr>
          <w:rFonts w:ascii="黑体" w:eastAsia="黑体" w:hint="eastAsia"/>
        </w:rPr>
        <w:t>化处</w:t>
      </w:r>
      <w:r>
        <w:rPr>
          <w:rFonts w:ascii="黑体" w:eastAsia="黑体" w:hint="eastAsia"/>
          <w:spacing w:val="-3"/>
        </w:rPr>
        <w:t>理</w:t>
      </w:r>
      <w:r>
        <w:rPr>
          <w:rFonts w:ascii="黑体" w:eastAsia="黑体" w:hint="eastAsia"/>
        </w:rPr>
        <w:t>一</w:t>
      </w:r>
      <w:r>
        <w:rPr>
          <w:rFonts w:ascii="黑体" w:eastAsia="黑体" w:hint="eastAsia"/>
          <w:spacing w:val="-3"/>
        </w:rPr>
        <w:t>体</w:t>
      </w:r>
      <w:r>
        <w:rPr>
          <w:rFonts w:ascii="黑体" w:eastAsia="黑体" w:hint="eastAsia"/>
        </w:rPr>
        <w:t>化</w:t>
      </w:r>
      <w:r>
        <w:rPr>
          <w:rFonts w:ascii="黑体" w:eastAsia="黑体" w:hint="eastAsia"/>
          <w:spacing w:val="-3"/>
        </w:rPr>
        <w:t>装</w:t>
      </w:r>
      <w:r>
        <w:rPr>
          <w:rFonts w:ascii="黑体" w:eastAsia="黑体" w:hint="eastAsia"/>
        </w:rPr>
        <w:t>备</w:t>
      </w:r>
      <w:r>
        <w:rPr>
          <w:rFonts w:ascii="黑体" w:eastAsia="黑体" w:hint="eastAsia"/>
          <w:spacing w:val="-3"/>
        </w:rPr>
        <w:t>生</w:t>
      </w:r>
      <w:r>
        <w:rPr>
          <w:rFonts w:ascii="黑体" w:eastAsia="黑体" w:hint="eastAsia"/>
        </w:rPr>
        <w:t>命</w:t>
      </w:r>
      <w:r>
        <w:rPr>
          <w:rFonts w:ascii="黑体" w:eastAsia="黑体" w:hint="eastAsia"/>
          <w:spacing w:val="-3"/>
        </w:rPr>
        <w:t>周</w:t>
      </w:r>
      <w:r>
        <w:rPr>
          <w:rFonts w:ascii="黑体" w:eastAsia="黑体" w:hint="eastAsia"/>
        </w:rPr>
        <w:t>期清</w:t>
      </w:r>
      <w:r>
        <w:rPr>
          <w:rFonts w:ascii="黑体" w:eastAsia="黑体" w:hint="eastAsia"/>
          <w:spacing w:val="-3"/>
        </w:rPr>
        <w:t>单</w:t>
      </w:r>
      <w:r>
        <w:rPr>
          <w:rFonts w:ascii="黑体" w:eastAsia="黑体" w:hint="eastAsia"/>
        </w:rPr>
        <w:t>因</w:t>
      </w:r>
      <w:r>
        <w:rPr>
          <w:rFonts w:ascii="黑体" w:eastAsia="黑体" w:hint="eastAsia"/>
          <w:spacing w:val="-3"/>
        </w:rPr>
        <w:t>子</w:t>
      </w:r>
      <w:r>
        <w:rPr>
          <w:rFonts w:ascii="黑体" w:eastAsia="黑体" w:hint="eastAsia"/>
        </w:rPr>
        <w:t>归类</w:t>
      </w:r>
    </w:p>
    <w:p>
      <w:pPr>
        <w:pStyle w:val="BodyText"/>
        <w:spacing w:before="6"/>
        <w:rPr>
          <w:rFonts w:ascii="黑体"/>
          <w:sz w:val="9"/>
        </w:rPr>
      </w:pP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4671"/>
      </w:tblGrid>
      <w:tr>
        <w:trPr>
          <w:trHeight w:val="340" w:hRule="atLeast"/>
        </w:trPr>
        <w:tc>
          <w:tcPr>
            <w:tcW w:w="4673" w:type="dxa"/>
          </w:tcPr>
          <w:p>
            <w:pPr>
              <w:pStyle w:val="TableParagraph"/>
              <w:spacing w:before="55"/>
              <w:ind w:left="1820" w:right="1723"/>
              <w:jc w:val="center"/>
              <w:rPr>
                <w:sz w:val="18"/>
              </w:rPr>
            </w:pPr>
            <w:r>
              <w:rPr>
                <w:sz w:val="18"/>
              </w:rPr>
              <w:t>影响类型 </w:t>
            </w:r>
          </w:p>
        </w:tc>
        <w:tc>
          <w:tcPr>
            <w:tcW w:w="4671" w:type="dxa"/>
          </w:tcPr>
          <w:p>
            <w:pPr>
              <w:pStyle w:val="TableParagraph"/>
              <w:spacing w:before="55"/>
              <w:ind w:left="400" w:right="305"/>
              <w:jc w:val="center"/>
              <w:rPr>
                <w:sz w:val="18"/>
              </w:rPr>
            </w:pPr>
            <w:r>
              <w:rPr>
                <w:sz w:val="18"/>
              </w:rPr>
              <w:t>清单因子归类 </w:t>
            </w:r>
          </w:p>
        </w:tc>
      </w:tr>
      <w:tr>
        <w:trPr>
          <w:trHeight w:val="340" w:hRule="atLeast"/>
        </w:trPr>
        <w:tc>
          <w:tcPr>
            <w:tcW w:w="4673" w:type="dxa"/>
          </w:tcPr>
          <w:p>
            <w:pPr>
              <w:pStyle w:val="TableParagraph"/>
              <w:ind w:left="1820" w:right="1723"/>
              <w:jc w:val="center"/>
              <w:rPr>
                <w:sz w:val="18"/>
              </w:rPr>
            </w:pPr>
            <w:r>
              <w:rPr>
                <w:sz w:val="18"/>
              </w:rPr>
              <w:t>气候变化 </w:t>
            </w:r>
          </w:p>
        </w:tc>
        <w:tc>
          <w:tcPr>
            <w:tcW w:w="4671" w:type="dxa"/>
          </w:tcPr>
          <w:p>
            <w:pPr>
              <w:pStyle w:val="TableParagraph"/>
              <w:ind w:left="400" w:right="305"/>
              <w:jc w:val="center"/>
              <w:rPr>
                <w:sz w:val="18"/>
              </w:rPr>
            </w:pPr>
            <w:r>
              <w:rPr>
                <w:position w:val="1"/>
                <w:sz w:val="18"/>
              </w:rPr>
              <w:t>二氧化碳（CO</w:t>
            </w:r>
            <w:r>
              <w:rPr>
                <w:sz w:val="9"/>
              </w:rPr>
              <w:t>2</w:t>
            </w:r>
            <w:r>
              <w:rPr>
                <w:position w:val="1"/>
                <w:sz w:val="18"/>
              </w:rPr>
              <w:t>）、甲烷（CH</w:t>
            </w:r>
            <w:r>
              <w:rPr>
                <w:sz w:val="9"/>
              </w:rPr>
              <w:t>4</w:t>
            </w:r>
            <w:r>
              <w:rPr>
                <w:position w:val="1"/>
                <w:sz w:val="18"/>
              </w:rPr>
              <w:t>）、氧化亚氮（N</w:t>
            </w:r>
            <w:r>
              <w:rPr>
                <w:sz w:val="9"/>
              </w:rPr>
              <w:t>2</w:t>
            </w:r>
            <w:r>
              <w:rPr>
                <w:position w:val="1"/>
                <w:sz w:val="18"/>
              </w:rPr>
              <w:t>O） </w:t>
            </w:r>
          </w:p>
        </w:tc>
      </w:tr>
      <w:tr>
        <w:trPr>
          <w:trHeight w:val="340" w:hRule="atLeast"/>
        </w:trPr>
        <w:tc>
          <w:tcPr>
            <w:tcW w:w="4673" w:type="dxa"/>
          </w:tcPr>
          <w:p>
            <w:pPr>
              <w:pStyle w:val="TableParagraph"/>
              <w:ind w:left="1820" w:right="1723"/>
              <w:jc w:val="center"/>
              <w:rPr>
                <w:sz w:val="18"/>
              </w:rPr>
            </w:pPr>
            <w:r>
              <w:rPr>
                <w:sz w:val="18"/>
              </w:rPr>
              <w:t>能源消耗 </w:t>
            </w:r>
          </w:p>
        </w:tc>
        <w:tc>
          <w:tcPr>
            <w:tcW w:w="4671" w:type="dxa"/>
          </w:tcPr>
          <w:p>
            <w:pPr>
              <w:pStyle w:val="TableParagraph"/>
              <w:ind w:left="400" w:right="302"/>
              <w:jc w:val="center"/>
              <w:rPr>
                <w:sz w:val="18"/>
              </w:rPr>
            </w:pPr>
            <w:r>
              <w:rPr>
                <w:sz w:val="18"/>
              </w:rPr>
              <w:t>煤、天然气 </w:t>
            </w:r>
          </w:p>
        </w:tc>
      </w:tr>
      <w:tr>
        <w:trPr>
          <w:trHeight w:val="340" w:hRule="atLeast"/>
        </w:trPr>
        <w:tc>
          <w:tcPr>
            <w:tcW w:w="4673" w:type="dxa"/>
          </w:tcPr>
          <w:p>
            <w:pPr>
              <w:pStyle w:val="TableParagraph"/>
              <w:ind w:left="1820" w:right="1723"/>
              <w:jc w:val="center"/>
              <w:rPr>
                <w:sz w:val="18"/>
              </w:rPr>
            </w:pPr>
            <w:r>
              <w:rPr>
                <w:sz w:val="18"/>
              </w:rPr>
              <w:t>金属资源消耗 </w:t>
            </w:r>
          </w:p>
        </w:tc>
        <w:tc>
          <w:tcPr>
            <w:tcW w:w="4671" w:type="dxa"/>
          </w:tcPr>
          <w:p>
            <w:pPr>
              <w:pStyle w:val="TableParagraph"/>
              <w:ind w:left="400" w:right="305"/>
              <w:jc w:val="center"/>
              <w:rPr>
                <w:sz w:val="18"/>
              </w:rPr>
            </w:pPr>
            <w:r>
              <w:rPr>
                <w:sz w:val="18"/>
              </w:rPr>
              <w:t>钢材 </w:t>
            </w:r>
          </w:p>
        </w:tc>
      </w:tr>
      <w:tr>
        <w:trPr>
          <w:trHeight w:val="340" w:hRule="atLeast"/>
        </w:trPr>
        <w:tc>
          <w:tcPr>
            <w:tcW w:w="4673" w:type="dxa"/>
          </w:tcPr>
          <w:p>
            <w:pPr>
              <w:pStyle w:val="TableParagraph"/>
              <w:ind w:left="1819" w:right="1723"/>
              <w:jc w:val="center"/>
              <w:rPr>
                <w:sz w:val="18"/>
              </w:rPr>
            </w:pPr>
            <w:r>
              <w:rPr>
                <w:sz w:val="18"/>
              </w:rPr>
              <w:t>酸化 </w:t>
            </w:r>
          </w:p>
        </w:tc>
        <w:tc>
          <w:tcPr>
            <w:tcW w:w="4671" w:type="dxa"/>
          </w:tcPr>
          <w:p>
            <w:pPr>
              <w:pStyle w:val="TableParagraph"/>
              <w:ind w:left="400" w:right="302"/>
              <w:jc w:val="center"/>
              <w:rPr>
                <w:sz w:val="18"/>
              </w:rPr>
            </w:pPr>
            <w:r>
              <w:rPr>
                <w:position w:val="1"/>
                <w:sz w:val="18"/>
              </w:rPr>
              <w:t>二氧化硫（SO</w:t>
            </w:r>
            <w:r>
              <w:rPr>
                <w:sz w:val="9"/>
              </w:rPr>
              <w:t>2</w:t>
            </w:r>
            <w:r>
              <w:rPr>
                <w:position w:val="1"/>
                <w:sz w:val="18"/>
              </w:rPr>
              <w:t>）、氮氧化物（NO</w:t>
            </w:r>
            <w:r>
              <w:rPr>
                <w:sz w:val="9"/>
              </w:rPr>
              <w:t>X</w:t>
            </w:r>
            <w:r>
              <w:rPr>
                <w:position w:val="1"/>
                <w:sz w:val="18"/>
              </w:rPr>
              <w:t>） </w:t>
            </w:r>
          </w:p>
        </w:tc>
      </w:tr>
    </w:tbl>
    <w:p>
      <w:pPr>
        <w:pStyle w:val="BodyText"/>
        <w:spacing w:before="11"/>
        <w:rPr>
          <w:rFonts w:ascii="黑体"/>
          <w:sz w:val="18"/>
        </w:rPr>
      </w:pPr>
    </w:p>
    <w:p>
      <w:pPr>
        <w:pStyle w:val="ListParagraph"/>
        <w:numPr>
          <w:ilvl w:val="2"/>
          <w:numId w:val="18"/>
        </w:numPr>
        <w:tabs>
          <w:tab w:pos="1575" w:val="left" w:leader="none"/>
          <w:tab w:pos="1576" w:val="left" w:leader="none"/>
        </w:tabs>
        <w:spacing w:line="240" w:lineRule="auto" w:before="0" w:after="0"/>
        <w:ind w:left="1575" w:right="0" w:hanging="738"/>
        <w:jc w:val="left"/>
        <w:rPr>
          <w:rFonts w:ascii="黑体" w:eastAsia="黑体" w:hint="eastAsia"/>
          <w:sz w:val="21"/>
        </w:rPr>
      </w:pPr>
      <w:r>
        <w:rPr>
          <w:rFonts w:ascii="黑体" w:eastAsia="黑体" w:hint="eastAsia"/>
          <w:spacing w:val="-3"/>
          <w:sz w:val="21"/>
        </w:rPr>
        <w:t>分类评价</w:t>
      </w:r>
    </w:p>
    <w:p>
      <w:pPr>
        <w:pStyle w:val="BodyText"/>
        <w:spacing w:before="11"/>
        <w:rPr>
          <w:rFonts w:ascii="黑体"/>
          <w:sz w:val="18"/>
        </w:rPr>
      </w:pPr>
    </w:p>
    <w:p>
      <w:pPr>
        <w:pStyle w:val="BodyText"/>
        <w:spacing w:line="242" w:lineRule="auto"/>
        <w:ind w:left="838" w:right="546" w:firstLine="420"/>
      </w:pPr>
      <w:r>
        <w:rPr>
          <w:spacing w:val="-17"/>
        </w:rPr>
        <w:t>参照 </w:t>
      </w:r>
      <w:r>
        <w:rPr/>
        <w:t>GB/T</w:t>
      </w:r>
      <w:r>
        <w:rPr>
          <w:spacing w:val="67"/>
        </w:rPr>
        <w:t> </w:t>
      </w:r>
      <w:r>
        <w:rPr/>
        <w:t>32161</w:t>
      </w:r>
      <w:r>
        <w:rPr>
          <w:spacing w:val="-21"/>
        </w:rPr>
        <w:t> 的附录 </w:t>
      </w:r>
      <w:r>
        <w:rPr/>
        <w:t>B</w:t>
      </w:r>
      <w:r>
        <w:rPr>
          <w:spacing w:val="-16"/>
        </w:rPr>
        <w:t>，表 </w:t>
      </w:r>
      <w:r>
        <w:rPr/>
        <w:t>B.2</w:t>
      </w:r>
      <w:r>
        <w:rPr>
          <w:spacing w:val="-8"/>
        </w:rPr>
        <w:t> 给出了不同影响类型的特征化模型和类型参数，产品生命周期</w:t>
      </w:r>
      <w:r>
        <w:rPr>
          <w:spacing w:val="-10"/>
        </w:rPr>
        <w:t>影响分类评价应按表 </w:t>
      </w:r>
      <w:r>
        <w:rPr/>
        <w:t>B.2</w:t>
      </w:r>
      <w:r>
        <w:rPr>
          <w:spacing w:val="-10"/>
        </w:rPr>
        <w:t> 的要求进行。 </w:t>
      </w:r>
    </w:p>
    <w:p>
      <w:pPr>
        <w:pStyle w:val="BodyText"/>
        <w:spacing w:before="2"/>
        <w:ind w:left="1258"/>
      </w:pPr>
      <w:r>
        <w:rPr>
          <w:w w:val="100"/>
        </w:rPr>
        <w:t> </w:t>
      </w:r>
    </w:p>
    <w:p>
      <w:pPr>
        <w:pStyle w:val="BodyText"/>
        <w:spacing w:before="2"/>
        <w:ind w:left="1258"/>
      </w:pPr>
      <w:r>
        <w:rPr>
          <w:w w:val="100"/>
        </w:rPr>
        <w:t> </w:t>
      </w:r>
    </w:p>
    <w:p>
      <w:pPr>
        <w:pStyle w:val="BodyText"/>
        <w:spacing w:before="4"/>
        <w:ind w:left="1258"/>
      </w:pPr>
      <w:r>
        <w:rPr>
          <w:w w:val="100"/>
        </w:rPr>
        <w:t> </w:t>
      </w:r>
    </w:p>
    <w:p>
      <w:pPr>
        <w:pStyle w:val="BodyText"/>
        <w:spacing w:before="2"/>
        <w:ind w:left="1258"/>
      </w:pPr>
      <w:r>
        <w:rPr>
          <w:w w:val="100"/>
        </w:rPr>
        <w:t> </w:t>
      </w:r>
    </w:p>
    <w:p>
      <w:pPr>
        <w:pStyle w:val="BodyText"/>
        <w:spacing w:before="5"/>
        <w:ind w:left="1258"/>
      </w:pPr>
      <w:r>
        <w:rPr>
          <w:w w:val="100"/>
        </w:rPr>
        <w:t> </w:t>
      </w:r>
    </w:p>
    <w:p>
      <w:pPr>
        <w:spacing w:after="0"/>
        <w:sectPr>
          <w:pgSz w:w="11910" w:h="16840"/>
          <w:pgMar w:header="1138" w:footer="1141" w:top="1320" w:bottom="1340" w:left="580" w:right="580"/>
        </w:sectPr>
      </w:pPr>
    </w:p>
    <w:p>
      <w:pPr>
        <w:pStyle w:val="BodyText"/>
        <w:spacing w:before="11"/>
        <w:rPr>
          <w:sz w:val="22"/>
        </w:rPr>
      </w:pPr>
    </w:p>
    <w:p>
      <w:pPr>
        <w:pStyle w:val="BodyText"/>
        <w:tabs>
          <w:tab w:pos="790" w:val="left" w:leader="none"/>
        </w:tabs>
        <w:spacing w:before="72"/>
        <w:ind w:right="281"/>
        <w:jc w:val="center"/>
        <w:rPr>
          <w:rFonts w:ascii="黑体" w:eastAsia="黑体" w:hint="eastAsia"/>
        </w:rPr>
      </w:pPr>
      <w:r>
        <w:rPr>
          <w:rFonts w:ascii="黑体" w:eastAsia="黑体" w:hint="eastAsia"/>
        </w:rPr>
        <w:t>表</w:t>
      </w:r>
      <w:r>
        <w:rPr>
          <w:rFonts w:ascii="黑体" w:eastAsia="黑体" w:hint="eastAsia"/>
          <w:spacing w:val="-52"/>
        </w:rPr>
        <w:t> </w:t>
      </w:r>
      <w:r>
        <w:rPr>
          <w:rFonts w:ascii="黑体" w:eastAsia="黑体" w:hint="eastAsia"/>
        </w:rPr>
        <w:t>B.2</w:t>
        <w:tab/>
      </w:r>
      <w:r>
        <w:rPr>
          <w:rFonts w:ascii="黑体" w:eastAsia="黑体" w:hint="eastAsia"/>
          <w:spacing w:val="-3"/>
        </w:rPr>
        <w:t>产</w:t>
      </w:r>
      <w:r>
        <w:rPr>
          <w:rFonts w:ascii="黑体" w:eastAsia="黑体" w:hint="eastAsia"/>
        </w:rPr>
        <w:t>品</w:t>
      </w:r>
      <w:r>
        <w:rPr>
          <w:rFonts w:ascii="黑体" w:eastAsia="黑体" w:hint="eastAsia"/>
          <w:spacing w:val="-3"/>
        </w:rPr>
        <w:t>生</w:t>
      </w:r>
      <w:r>
        <w:rPr>
          <w:rFonts w:ascii="黑体" w:eastAsia="黑体" w:hint="eastAsia"/>
        </w:rPr>
        <w:t>命</w:t>
      </w:r>
      <w:r>
        <w:rPr>
          <w:rFonts w:ascii="黑体" w:eastAsia="黑体" w:hint="eastAsia"/>
          <w:spacing w:val="-3"/>
        </w:rPr>
        <w:t>周</w:t>
      </w:r>
      <w:r>
        <w:rPr>
          <w:rFonts w:ascii="黑体" w:eastAsia="黑体" w:hint="eastAsia"/>
        </w:rPr>
        <w:t>期</w:t>
      </w:r>
      <w:r>
        <w:rPr>
          <w:rFonts w:ascii="黑体" w:eastAsia="黑体" w:hint="eastAsia"/>
          <w:spacing w:val="-3"/>
        </w:rPr>
        <w:t>影</w:t>
      </w:r>
      <w:r>
        <w:rPr>
          <w:rFonts w:ascii="黑体" w:eastAsia="黑体" w:hint="eastAsia"/>
        </w:rPr>
        <w:t>响类</w:t>
      </w:r>
      <w:r>
        <w:rPr>
          <w:rFonts w:ascii="黑体" w:eastAsia="黑体" w:hint="eastAsia"/>
          <w:spacing w:val="-3"/>
        </w:rPr>
        <w:t>型</w:t>
      </w:r>
      <w:r>
        <w:rPr>
          <w:rFonts w:ascii="黑体" w:eastAsia="黑体" w:hint="eastAsia"/>
        </w:rPr>
        <w:t>和</w:t>
      </w:r>
      <w:r>
        <w:rPr>
          <w:rFonts w:ascii="黑体" w:eastAsia="黑体" w:hint="eastAsia"/>
          <w:spacing w:val="-3"/>
        </w:rPr>
        <w:t>类</w:t>
      </w:r>
      <w:r>
        <w:rPr>
          <w:rFonts w:ascii="黑体" w:eastAsia="黑体" w:hint="eastAsia"/>
        </w:rPr>
        <w:t>型</w:t>
      </w:r>
      <w:r>
        <w:rPr>
          <w:rFonts w:ascii="黑体" w:eastAsia="黑体" w:hint="eastAsia"/>
          <w:spacing w:val="-3"/>
        </w:rPr>
        <w:t>参</w:t>
      </w:r>
      <w:r>
        <w:rPr>
          <w:rFonts w:ascii="黑体" w:eastAsia="黑体" w:hint="eastAsia"/>
        </w:rPr>
        <w:t>数</w:t>
      </w:r>
    </w:p>
    <w:p>
      <w:pPr>
        <w:pStyle w:val="BodyText"/>
        <w:spacing w:before="5" w:after="1"/>
        <w:rPr>
          <w:rFonts w:ascii="黑体"/>
          <w:sz w:val="9"/>
        </w:rPr>
      </w:pP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5386"/>
        <w:gridCol w:w="1978"/>
      </w:tblGrid>
      <w:tr>
        <w:trPr>
          <w:trHeight w:val="340" w:hRule="atLeast"/>
        </w:trPr>
        <w:tc>
          <w:tcPr>
            <w:tcW w:w="1980" w:type="dxa"/>
          </w:tcPr>
          <w:p>
            <w:pPr>
              <w:pStyle w:val="TableParagraph"/>
              <w:spacing w:before="55"/>
              <w:ind w:left="484" w:right="366"/>
              <w:jc w:val="center"/>
              <w:rPr>
                <w:sz w:val="21"/>
              </w:rPr>
            </w:pPr>
            <w:r>
              <w:rPr>
                <w:sz w:val="18"/>
              </w:rPr>
              <w:t>影响类型</w:t>
            </w:r>
            <w:r>
              <w:rPr>
                <w:w w:val="100"/>
                <w:sz w:val="21"/>
              </w:rPr>
              <w:t> </w:t>
            </w:r>
          </w:p>
        </w:tc>
        <w:tc>
          <w:tcPr>
            <w:tcW w:w="5386" w:type="dxa"/>
          </w:tcPr>
          <w:p>
            <w:pPr>
              <w:pStyle w:val="TableParagraph"/>
              <w:spacing w:before="55"/>
              <w:ind w:left="207" w:right="88"/>
              <w:jc w:val="center"/>
              <w:rPr>
                <w:sz w:val="21"/>
              </w:rPr>
            </w:pPr>
            <w:r>
              <w:rPr>
                <w:sz w:val="18"/>
              </w:rPr>
              <w:t>特征化模型</w:t>
            </w:r>
            <w:r>
              <w:rPr>
                <w:w w:val="100"/>
                <w:sz w:val="21"/>
              </w:rPr>
              <w:t> </w:t>
            </w:r>
          </w:p>
        </w:tc>
        <w:tc>
          <w:tcPr>
            <w:tcW w:w="1978" w:type="dxa"/>
          </w:tcPr>
          <w:p>
            <w:pPr>
              <w:pStyle w:val="TableParagraph"/>
              <w:spacing w:before="55"/>
              <w:ind w:left="305" w:right="183"/>
              <w:jc w:val="center"/>
              <w:rPr>
                <w:sz w:val="21"/>
              </w:rPr>
            </w:pPr>
            <w:r>
              <w:rPr>
                <w:sz w:val="18"/>
              </w:rPr>
              <w:t>类型参数</w:t>
            </w:r>
            <w:r>
              <w:rPr>
                <w:w w:val="100"/>
                <w:sz w:val="21"/>
              </w:rPr>
              <w:t> </w:t>
            </w:r>
          </w:p>
        </w:tc>
      </w:tr>
      <w:tr>
        <w:trPr>
          <w:trHeight w:val="340" w:hRule="atLeast"/>
        </w:trPr>
        <w:tc>
          <w:tcPr>
            <w:tcW w:w="1980" w:type="dxa"/>
          </w:tcPr>
          <w:p>
            <w:pPr>
              <w:pStyle w:val="TableParagraph"/>
              <w:ind w:left="484" w:right="366"/>
              <w:jc w:val="center"/>
              <w:rPr>
                <w:sz w:val="21"/>
              </w:rPr>
            </w:pPr>
            <w:r>
              <w:rPr>
                <w:sz w:val="18"/>
              </w:rPr>
              <w:t>气候变化</w:t>
            </w:r>
            <w:r>
              <w:rPr>
                <w:w w:val="100"/>
                <w:sz w:val="21"/>
              </w:rPr>
              <w:t> </w:t>
            </w:r>
          </w:p>
        </w:tc>
        <w:tc>
          <w:tcPr>
            <w:tcW w:w="5386" w:type="dxa"/>
          </w:tcPr>
          <w:p>
            <w:pPr>
              <w:pStyle w:val="TableParagraph"/>
              <w:ind w:left="207" w:right="88"/>
              <w:jc w:val="center"/>
              <w:rPr>
                <w:sz w:val="21"/>
              </w:rPr>
            </w:pPr>
            <w:r>
              <w:rPr>
                <w:sz w:val="18"/>
              </w:rPr>
              <w:t>伯尔尼模型—全球 100 年时间范围内的全球变暖潜能值（GWP）</w:t>
            </w:r>
            <w:r>
              <w:rPr>
                <w:w w:val="100"/>
                <w:sz w:val="21"/>
              </w:rPr>
              <w:t> </w:t>
            </w:r>
          </w:p>
        </w:tc>
        <w:tc>
          <w:tcPr>
            <w:tcW w:w="1978" w:type="dxa"/>
          </w:tcPr>
          <w:p>
            <w:pPr>
              <w:pStyle w:val="TableParagraph"/>
              <w:ind w:left="305" w:right="181"/>
              <w:jc w:val="center"/>
              <w:rPr>
                <w:sz w:val="21"/>
              </w:rPr>
            </w:pPr>
            <w:r>
              <w:rPr>
                <w:position w:val="1"/>
                <w:sz w:val="18"/>
              </w:rPr>
              <w:t>kg，CO</w:t>
            </w:r>
            <w:r>
              <w:rPr>
                <w:sz w:val="9"/>
              </w:rPr>
              <w:t>2 </w:t>
            </w:r>
            <w:r>
              <w:rPr>
                <w:position w:val="1"/>
                <w:sz w:val="18"/>
              </w:rPr>
              <w:t>当量</w:t>
            </w:r>
            <w:r>
              <w:rPr>
                <w:w w:val="100"/>
                <w:position w:val="1"/>
                <w:sz w:val="21"/>
              </w:rPr>
              <w:t> </w:t>
            </w:r>
          </w:p>
        </w:tc>
      </w:tr>
      <w:tr>
        <w:trPr>
          <w:trHeight w:val="340" w:hRule="atLeast"/>
        </w:trPr>
        <w:tc>
          <w:tcPr>
            <w:tcW w:w="1980" w:type="dxa"/>
          </w:tcPr>
          <w:p>
            <w:pPr>
              <w:pStyle w:val="TableParagraph"/>
              <w:ind w:left="484" w:right="366"/>
              <w:jc w:val="center"/>
              <w:rPr>
                <w:sz w:val="21"/>
              </w:rPr>
            </w:pPr>
            <w:r>
              <w:rPr>
                <w:sz w:val="18"/>
              </w:rPr>
              <w:t>能源消耗</w:t>
            </w:r>
            <w:r>
              <w:rPr>
                <w:w w:val="100"/>
                <w:sz w:val="21"/>
              </w:rPr>
              <w:t> </w:t>
            </w:r>
          </w:p>
        </w:tc>
        <w:tc>
          <w:tcPr>
            <w:tcW w:w="5386" w:type="dxa"/>
          </w:tcPr>
          <w:p>
            <w:pPr>
              <w:pStyle w:val="TableParagraph"/>
              <w:ind w:left="205" w:right="88"/>
              <w:jc w:val="center"/>
              <w:rPr>
                <w:sz w:val="21"/>
              </w:rPr>
            </w:pPr>
            <w:r>
              <w:rPr>
                <w:sz w:val="18"/>
              </w:rPr>
              <w:t>Cumulative Energy Demand V1.09</w:t>
            </w:r>
            <w:r>
              <w:rPr>
                <w:w w:val="100"/>
                <w:sz w:val="21"/>
              </w:rPr>
              <w:t> </w:t>
            </w:r>
          </w:p>
        </w:tc>
        <w:tc>
          <w:tcPr>
            <w:tcW w:w="1978" w:type="dxa"/>
          </w:tcPr>
          <w:p>
            <w:pPr>
              <w:pStyle w:val="TableParagraph"/>
              <w:ind w:left="305" w:right="180"/>
              <w:jc w:val="center"/>
              <w:rPr>
                <w:sz w:val="21"/>
              </w:rPr>
            </w:pPr>
            <w:r>
              <w:rPr>
                <w:sz w:val="18"/>
              </w:rPr>
              <w:t>MJ</w:t>
            </w:r>
            <w:r>
              <w:rPr>
                <w:w w:val="100"/>
                <w:sz w:val="21"/>
              </w:rPr>
              <w:t> </w:t>
            </w:r>
          </w:p>
        </w:tc>
      </w:tr>
      <w:tr>
        <w:trPr>
          <w:trHeight w:val="340" w:hRule="atLeast"/>
        </w:trPr>
        <w:tc>
          <w:tcPr>
            <w:tcW w:w="1980" w:type="dxa"/>
          </w:tcPr>
          <w:p>
            <w:pPr>
              <w:pStyle w:val="TableParagraph"/>
              <w:ind w:left="484" w:right="366"/>
              <w:jc w:val="center"/>
              <w:rPr>
                <w:sz w:val="21"/>
              </w:rPr>
            </w:pPr>
            <w:r>
              <w:rPr>
                <w:sz w:val="18"/>
              </w:rPr>
              <w:t>金属资源消耗</w:t>
            </w:r>
            <w:r>
              <w:rPr>
                <w:w w:val="100"/>
                <w:sz w:val="21"/>
              </w:rPr>
              <w:t> </w:t>
            </w:r>
          </w:p>
        </w:tc>
        <w:tc>
          <w:tcPr>
            <w:tcW w:w="5386" w:type="dxa"/>
          </w:tcPr>
          <w:p>
            <w:pPr>
              <w:pStyle w:val="TableParagraph"/>
              <w:ind w:left="207" w:right="88"/>
              <w:jc w:val="center"/>
              <w:rPr>
                <w:sz w:val="21"/>
              </w:rPr>
            </w:pPr>
            <w:r>
              <w:rPr>
                <w:sz w:val="18"/>
              </w:rPr>
              <w:t>CML2002 模型</w:t>
            </w:r>
            <w:r>
              <w:rPr>
                <w:w w:val="100"/>
                <w:sz w:val="21"/>
              </w:rPr>
              <w:t> </w:t>
            </w:r>
          </w:p>
        </w:tc>
        <w:tc>
          <w:tcPr>
            <w:tcW w:w="1978" w:type="dxa"/>
          </w:tcPr>
          <w:p>
            <w:pPr>
              <w:pStyle w:val="TableParagraph"/>
              <w:ind w:left="305" w:right="183"/>
              <w:jc w:val="center"/>
              <w:rPr>
                <w:sz w:val="21"/>
              </w:rPr>
            </w:pPr>
            <w:r>
              <w:rPr>
                <w:sz w:val="18"/>
              </w:rPr>
              <w:t>kg，锑（Sb）当量</w:t>
            </w:r>
            <w:r>
              <w:rPr>
                <w:w w:val="100"/>
                <w:sz w:val="21"/>
              </w:rPr>
              <w:t> </w:t>
            </w:r>
          </w:p>
        </w:tc>
      </w:tr>
      <w:tr>
        <w:trPr>
          <w:trHeight w:val="340" w:hRule="atLeast"/>
        </w:trPr>
        <w:tc>
          <w:tcPr>
            <w:tcW w:w="1980" w:type="dxa"/>
          </w:tcPr>
          <w:p>
            <w:pPr>
              <w:pStyle w:val="TableParagraph"/>
              <w:ind w:left="484" w:right="366"/>
              <w:jc w:val="center"/>
              <w:rPr>
                <w:sz w:val="21"/>
              </w:rPr>
            </w:pPr>
            <w:r>
              <w:rPr>
                <w:sz w:val="18"/>
              </w:rPr>
              <w:t>酸化</w:t>
            </w:r>
            <w:r>
              <w:rPr>
                <w:w w:val="100"/>
                <w:sz w:val="21"/>
              </w:rPr>
              <w:t> </w:t>
            </w:r>
          </w:p>
        </w:tc>
        <w:tc>
          <w:tcPr>
            <w:tcW w:w="5386" w:type="dxa"/>
          </w:tcPr>
          <w:p>
            <w:pPr>
              <w:pStyle w:val="TableParagraph"/>
              <w:ind w:left="207" w:right="88"/>
              <w:jc w:val="center"/>
              <w:rPr>
                <w:sz w:val="21"/>
              </w:rPr>
            </w:pPr>
            <w:r>
              <w:rPr>
                <w:sz w:val="18"/>
              </w:rPr>
              <w:t>累计超过数模型</w:t>
            </w:r>
            <w:r>
              <w:rPr>
                <w:w w:val="100"/>
                <w:sz w:val="21"/>
              </w:rPr>
              <w:t> </w:t>
            </w:r>
          </w:p>
        </w:tc>
        <w:tc>
          <w:tcPr>
            <w:tcW w:w="1978" w:type="dxa"/>
          </w:tcPr>
          <w:p>
            <w:pPr>
              <w:pStyle w:val="TableParagraph"/>
              <w:ind w:left="305" w:right="181"/>
              <w:jc w:val="center"/>
              <w:rPr>
                <w:sz w:val="21"/>
              </w:rPr>
            </w:pPr>
            <w:r>
              <w:rPr>
                <w:sz w:val="18"/>
              </w:rPr>
              <w:t>摩尔，H</w:t>
            </w:r>
            <w:r>
              <w:rPr>
                <w:position w:val="9"/>
                <w:sz w:val="9"/>
              </w:rPr>
              <w:t>+</w:t>
            </w:r>
            <w:r>
              <w:rPr>
                <w:sz w:val="18"/>
              </w:rPr>
              <w:t>当量</w:t>
            </w:r>
            <w:r>
              <w:rPr>
                <w:w w:val="100"/>
                <w:sz w:val="21"/>
              </w:rPr>
              <w:t> </w:t>
            </w:r>
          </w:p>
        </w:tc>
      </w:tr>
    </w:tbl>
    <w:p>
      <w:pPr>
        <w:pStyle w:val="BodyText"/>
        <w:spacing w:before="10"/>
        <w:rPr>
          <w:rFonts w:ascii="黑体"/>
          <w:sz w:val="18"/>
        </w:rPr>
      </w:pPr>
    </w:p>
    <w:p>
      <w:pPr>
        <w:pStyle w:val="ListParagraph"/>
        <w:numPr>
          <w:ilvl w:val="2"/>
          <w:numId w:val="18"/>
        </w:numPr>
        <w:tabs>
          <w:tab w:pos="1289" w:val="left" w:leader="none"/>
          <w:tab w:pos="1291" w:val="left" w:leader="none"/>
        </w:tabs>
        <w:spacing w:line="240" w:lineRule="auto" w:before="0" w:after="0"/>
        <w:ind w:left="1290" w:right="0" w:hanging="739"/>
        <w:jc w:val="left"/>
        <w:rPr>
          <w:rFonts w:ascii="黑体" w:eastAsia="黑体" w:hint="eastAsia"/>
          <w:sz w:val="21"/>
        </w:rPr>
      </w:pPr>
      <w:r>
        <w:rPr>
          <w:rFonts w:ascii="黑体" w:eastAsia="黑体" w:hint="eastAsia"/>
          <w:spacing w:val="-3"/>
          <w:sz w:val="21"/>
        </w:rPr>
        <w:t>计算方法</w:t>
      </w:r>
    </w:p>
    <w:p>
      <w:pPr>
        <w:pStyle w:val="BodyText"/>
        <w:spacing w:before="12"/>
        <w:rPr>
          <w:rFonts w:ascii="黑体"/>
          <w:sz w:val="18"/>
        </w:rPr>
      </w:pPr>
    </w:p>
    <w:p>
      <w:pPr>
        <w:pStyle w:val="BodyText"/>
        <w:ind w:left="973"/>
      </w:pPr>
      <w:r>
        <w:rPr/>
        <w:t>环境类别特征化值按公式（B.1）计算。 </w:t>
      </w:r>
    </w:p>
    <w:p>
      <w:pPr>
        <w:pStyle w:val="Heading2"/>
        <w:tabs>
          <w:tab w:pos="3565" w:val="left" w:leader="none"/>
          <w:tab w:pos="9031" w:val="left" w:leader="dot"/>
        </w:tabs>
        <w:spacing w:before="113"/>
        <w:ind w:left="973"/>
        <w:rPr>
          <w:rFonts w:ascii="宋体" w:hAnsi="宋体" w:eastAsia="宋体" w:hint="eastAsia"/>
          <w:sz w:val="21"/>
        </w:rPr>
      </w:pPr>
      <w:r>
        <w:rPr>
          <w:rFonts w:ascii="宋体" w:hAnsi="宋体" w:eastAsia="宋体" w:hint="eastAsia"/>
          <w:w w:val="100"/>
          <w:sz w:val="21"/>
        </w:rPr>
        <w:t> </w:t>
      </w:r>
      <w:r>
        <w:rPr>
          <w:rFonts w:ascii="宋体" w:hAnsi="宋体" w:eastAsia="宋体" w:hint="eastAsia"/>
          <w:sz w:val="21"/>
        </w:rPr>
        <w:tab/>
      </w:r>
      <w:r>
        <w:rPr>
          <w:spacing w:val="-10"/>
        </w:rPr>
        <w:t>𝐸𝑃</w:t>
      </w:r>
      <w:r>
        <w:rPr>
          <w:spacing w:val="-10"/>
          <w:vertAlign w:val="subscript"/>
        </w:rPr>
        <w:t>𝑖</w:t>
      </w:r>
      <w:r>
        <w:rPr>
          <w:spacing w:val="-10"/>
          <w:vertAlign w:val="baseline"/>
        </w:rPr>
        <w:t>  </w:t>
      </w:r>
      <w:r>
        <w:rPr>
          <w:vertAlign w:val="baseline"/>
        </w:rPr>
        <w:t>= </w:t>
      </w:r>
      <w:r>
        <w:rPr>
          <w:position w:val="1"/>
          <w:vertAlign w:val="baseline"/>
        </w:rPr>
        <w:t>∑ </w:t>
      </w:r>
      <w:r>
        <w:rPr>
          <w:spacing w:val="-7"/>
          <w:vertAlign w:val="baseline"/>
        </w:rPr>
        <w:t>𝐸𝑃</w:t>
      </w:r>
      <w:r>
        <w:rPr>
          <w:spacing w:val="-7"/>
          <w:vertAlign w:val="subscript"/>
        </w:rPr>
        <w:t>𝑖𝑗</w:t>
      </w:r>
      <w:r>
        <w:rPr>
          <w:spacing w:val="-7"/>
          <w:vertAlign w:val="baseline"/>
        </w:rPr>
        <w:t>  </w:t>
      </w:r>
      <w:r>
        <w:rPr>
          <w:vertAlign w:val="baseline"/>
        </w:rPr>
        <w:t>=  </w:t>
      </w:r>
      <w:r>
        <w:rPr>
          <w:position w:val="1"/>
          <w:vertAlign w:val="baseline"/>
        </w:rPr>
        <w:t>∑ </w:t>
      </w:r>
      <w:r>
        <w:rPr>
          <w:spacing w:val="-4"/>
          <w:vertAlign w:val="baseline"/>
        </w:rPr>
        <w:t>𝑄</w:t>
      </w:r>
      <w:r>
        <w:rPr>
          <w:spacing w:val="-4"/>
          <w:vertAlign w:val="subscript"/>
        </w:rPr>
        <w:t>𝑗</w:t>
      </w:r>
      <w:r>
        <w:rPr>
          <w:spacing w:val="-23"/>
          <w:vertAlign w:val="baseline"/>
        </w:rPr>
        <w:t> </w:t>
      </w:r>
      <w:r>
        <w:rPr>
          <w:vertAlign w:val="baseline"/>
        </w:rPr>
        <w:t>×</w:t>
      </w:r>
      <w:r>
        <w:rPr>
          <w:spacing w:val="1"/>
          <w:vertAlign w:val="baseline"/>
        </w:rPr>
        <w:t> </w:t>
      </w:r>
      <w:r>
        <w:rPr>
          <w:spacing w:val="-7"/>
          <w:vertAlign w:val="baseline"/>
        </w:rPr>
        <w:t>𝐸𝐹</w:t>
      </w:r>
      <w:r>
        <w:rPr>
          <w:spacing w:val="-7"/>
          <w:vertAlign w:val="subscript"/>
        </w:rPr>
        <w:t>𝑖𝑗</w:t>
      </w:r>
      <w:r>
        <w:rPr>
          <w:spacing w:val="-7"/>
          <w:position w:val="-4"/>
          <w:vertAlign w:val="baseline"/>
        </w:rPr>
        <w:tab/>
      </w:r>
      <w:r>
        <w:rPr>
          <w:rFonts w:ascii="宋体" w:hAnsi="宋体" w:eastAsia="宋体" w:hint="eastAsia"/>
          <w:sz w:val="21"/>
          <w:vertAlign w:val="baseline"/>
        </w:rPr>
        <w:t>（B.1） </w:t>
      </w:r>
    </w:p>
    <w:p>
      <w:pPr>
        <w:pStyle w:val="BodyText"/>
        <w:spacing w:before="144"/>
        <w:ind w:left="973"/>
      </w:pPr>
      <w:r>
        <w:rPr/>
        <w:t>式中： </w:t>
      </w:r>
    </w:p>
    <w:p>
      <w:pPr>
        <w:spacing w:before="2"/>
        <w:ind w:left="973" w:right="0" w:firstLine="0"/>
        <w:jc w:val="left"/>
        <w:rPr>
          <w:sz w:val="21"/>
        </w:rPr>
      </w:pPr>
      <w:r>
        <w:rPr>
          <w:rFonts w:ascii="Times New Roman" w:hAnsi="Times New Roman" w:eastAsia="Times New Roman"/>
          <w:i/>
          <w:position w:val="2"/>
          <w:sz w:val="21"/>
        </w:rPr>
        <w:t>EP</w:t>
      </w:r>
      <w:r>
        <w:rPr>
          <w:rFonts w:ascii="Times New Roman" w:hAnsi="Times New Roman" w:eastAsia="Times New Roman"/>
          <w:i/>
          <w:sz w:val="14"/>
        </w:rPr>
        <w:t>i</w:t>
      </w:r>
      <w:r>
        <w:rPr>
          <w:rFonts w:ascii="Times New Roman" w:hAnsi="Times New Roman" w:eastAsia="Times New Roman"/>
          <w:i/>
          <w:position w:val="2"/>
          <w:sz w:val="14"/>
        </w:rPr>
        <w:t> </w:t>
      </w:r>
      <w:r>
        <w:rPr>
          <w:rFonts w:ascii="Times New Roman" w:hAnsi="Times New Roman" w:eastAsia="Times New Roman"/>
          <w:position w:val="2"/>
          <w:sz w:val="21"/>
        </w:rPr>
        <w:t>——</w:t>
      </w:r>
      <w:r>
        <w:rPr>
          <w:position w:val="2"/>
          <w:sz w:val="21"/>
        </w:rPr>
        <w:t>第 </w:t>
      </w:r>
      <w:r>
        <w:rPr>
          <w:rFonts w:ascii="Times New Roman" w:hAnsi="Times New Roman" w:eastAsia="Times New Roman"/>
          <w:i/>
          <w:position w:val="2"/>
          <w:sz w:val="21"/>
        </w:rPr>
        <w:t>i </w:t>
      </w:r>
      <w:r>
        <w:rPr>
          <w:position w:val="2"/>
          <w:sz w:val="21"/>
        </w:rPr>
        <w:t>种环境类别特征化值； </w:t>
      </w:r>
    </w:p>
    <w:p>
      <w:pPr>
        <w:spacing w:before="4"/>
        <w:ind w:left="973" w:right="0" w:firstLine="0"/>
        <w:jc w:val="left"/>
        <w:rPr>
          <w:sz w:val="21"/>
        </w:rPr>
      </w:pPr>
      <w:r>
        <w:rPr>
          <w:rFonts w:ascii="Times New Roman" w:hAnsi="Times New Roman" w:eastAsia="Times New Roman"/>
          <w:i/>
          <w:position w:val="2"/>
          <w:sz w:val="21"/>
        </w:rPr>
        <w:t>EP</w:t>
      </w:r>
      <w:r>
        <w:rPr>
          <w:rFonts w:ascii="Times New Roman" w:hAnsi="Times New Roman" w:eastAsia="Times New Roman"/>
          <w:i/>
          <w:sz w:val="14"/>
        </w:rPr>
        <w:t>ij </w:t>
      </w:r>
      <w:r>
        <w:rPr>
          <w:rFonts w:ascii="Times New Roman" w:hAnsi="Times New Roman" w:eastAsia="Times New Roman"/>
          <w:position w:val="2"/>
          <w:sz w:val="21"/>
        </w:rPr>
        <w:t>——</w:t>
      </w:r>
      <w:r>
        <w:rPr>
          <w:position w:val="2"/>
          <w:sz w:val="21"/>
        </w:rPr>
        <w:t>第 </w:t>
      </w:r>
      <w:r>
        <w:rPr>
          <w:rFonts w:ascii="Times New Roman" w:hAnsi="Times New Roman" w:eastAsia="Times New Roman"/>
          <w:i/>
          <w:position w:val="2"/>
          <w:sz w:val="21"/>
        </w:rPr>
        <w:t>i </w:t>
      </w:r>
      <w:r>
        <w:rPr>
          <w:position w:val="2"/>
          <w:sz w:val="21"/>
        </w:rPr>
        <w:t>种环境类别中第 </w:t>
      </w:r>
      <w:r>
        <w:rPr>
          <w:rFonts w:ascii="Times New Roman" w:hAnsi="Times New Roman" w:eastAsia="Times New Roman"/>
          <w:i/>
          <w:position w:val="2"/>
          <w:sz w:val="21"/>
        </w:rPr>
        <w:t>j </w:t>
      </w:r>
      <w:r>
        <w:rPr>
          <w:position w:val="2"/>
          <w:sz w:val="21"/>
        </w:rPr>
        <w:t>种清单因子的贡献； </w:t>
      </w:r>
    </w:p>
    <w:p>
      <w:pPr>
        <w:spacing w:before="2"/>
        <w:ind w:left="973" w:right="0" w:firstLine="0"/>
        <w:jc w:val="left"/>
        <w:rPr>
          <w:sz w:val="21"/>
        </w:rPr>
      </w:pPr>
      <w:r>
        <w:rPr>
          <w:rFonts w:ascii="Times New Roman" w:hAnsi="Times New Roman" w:eastAsia="Times New Roman"/>
          <w:i/>
          <w:position w:val="2"/>
          <w:sz w:val="21"/>
        </w:rPr>
        <w:t>Q</w:t>
      </w:r>
      <w:r>
        <w:rPr>
          <w:rFonts w:ascii="Times New Roman" w:hAnsi="Times New Roman" w:eastAsia="Times New Roman"/>
          <w:i/>
          <w:sz w:val="14"/>
        </w:rPr>
        <w:t>j</w:t>
      </w:r>
      <w:r>
        <w:rPr>
          <w:rFonts w:ascii="Times New Roman" w:hAnsi="Times New Roman" w:eastAsia="Times New Roman"/>
          <w:i/>
          <w:position w:val="2"/>
          <w:sz w:val="14"/>
        </w:rPr>
        <w:t> </w:t>
      </w:r>
      <w:r>
        <w:rPr>
          <w:rFonts w:ascii="Times New Roman" w:hAnsi="Times New Roman" w:eastAsia="Times New Roman"/>
          <w:position w:val="2"/>
          <w:sz w:val="21"/>
        </w:rPr>
        <w:t>——</w:t>
      </w:r>
      <w:r>
        <w:rPr>
          <w:position w:val="2"/>
          <w:sz w:val="21"/>
        </w:rPr>
        <w:t>第 </w:t>
      </w:r>
      <w:r>
        <w:rPr>
          <w:rFonts w:ascii="Times New Roman" w:hAnsi="Times New Roman" w:eastAsia="Times New Roman"/>
          <w:i/>
          <w:position w:val="2"/>
          <w:sz w:val="21"/>
        </w:rPr>
        <w:t>j </w:t>
      </w:r>
      <w:r>
        <w:rPr>
          <w:position w:val="2"/>
          <w:sz w:val="21"/>
        </w:rPr>
        <w:t>种物质的排放量/消耗量； </w:t>
      </w:r>
    </w:p>
    <w:p>
      <w:pPr>
        <w:spacing w:before="5"/>
        <w:ind w:left="973" w:right="0" w:firstLine="0"/>
        <w:jc w:val="left"/>
        <w:rPr>
          <w:sz w:val="21"/>
        </w:rPr>
      </w:pPr>
      <w:r>
        <w:rPr>
          <w:rFonts w:ascii="Times New Roman" w:hAnsi="Times New Roman" w:eastAsia="Times New Roman"/>
          <w:i/>
          <w:position w:val="2"/>
          <w:sz w:val="21"/>
        </w:rPr>
        <w:t>EF</w:t>
      </w:r>
      <w:r>
        <w:rPr>
          <w:rFonts w:ascii="Times New Roman" w:hAnsi="Times New Roman" w:eastAsia="Times New Roman"/>
          <w:i/>
          <w:sz w:val="14"/>
        </w:rPr>
        <w:t>ij </w:t>
      </w:r>
      <w:r>
        <w:rPr>
          <w:rFonts w:ascii="Times New Roman" w:hAnsi="Times New Roman" w:eastAsia="Times New Roman"/>
          <w:position w:val="2"/>
          <w:sz w:val="21"/>
        </w:rPr>
        <w:t>——</w:t>
      </w:r>
      <w:r>
        <w:rPr>
          <w:position w:val="2"/>
          <w:sz w:val="21"/>
        </w:rPr>
        <w:t>第 </w:t>
      </w:r>
      <w:r>
        <w:rPr>
          <w:rFonts w:ascii="Times New Roman" w:hAnsi="Times New Roman" w:eastAsia="Times New Roman"/>
          <w:i/>
          <w:position w:val="2"/>
          <w:sz w:val="21"/>
        </w:rPr>
        <w:t>i </w:t>
      </w:r>
      <w:r>
        <w:rPr>
          <w:position w:val="2"/>
          <w:sz w:val="21"/>
        </w:rPr>
        <w:t>种环境类别中第 </w:t>
      </w:r>
      <w:r>
        <w:rPr>
          <w:rFonts w:ascii="Times New Roman" w:hAnsi="Times New Roman" w:eastAsia="Times New Roman"/>
          <w:i/>
          <w:position w:val="2"/>
          <w:sz w:val="21"/>
        </w:rPr>
        <w:t>j </w:t>
      </w:r>
      <w:r>
        <w:rPr>
          <w:position w:val="2"/>
          <w:sz w:val="21"/>
        </w:rPr>
        <w:t>种清单因子的特征化因子。 </w:t>
      </w:r>
    </w:p>
    <w:p>
      <w:pPr>
        <w:pStyle w:val="BodyText"/>
        <w:spacing w:before="12"/>
        <w:rPr>
          <w:sz w:val="18"/>
        </w:rPr>
      </w:pPr>
    </w:p>
    <w:p>
      <w:pPr>
        <w:pStyle w:val="ListParagraph"/>
        <w:numPr>
          <w:ilvl w:val="1"/>
          <w:numId w:val="7"/>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z w:val="21"/>
        </w:rPr>
        <w:t>解释</w:t>
      </w:r>
    </w:p>
    <w:p>
      <w:pPr>
        <w:pStyle w:val="BodyText"/>
        <w:spacing w:before="1"/>
        <w:rPr>
          <w:rFonts w:ascii="黑体"/>
          <w:sz w:val="19"/>
        </w:rPr>
      </w:pPr>
    </w:p>
    <w:p>
      <w:pPr>
        <w:pStyle w:val="ListParagraph"/>
        <w:numPr>
          <w:ilvl w:val="2"/>
          <w:numId w:val="19"/>
        </w:numPr>
        <w:tabs>
          <w:tab w:pos="1289" w:val="left" w:leader="none"/>
          <w:tab w:pos="1291" w:val="left" w:leader="none"/>
        </w:tabs>
        <w:spacing w:line="240" w:lineRule="auto" w:before="0" w:after="0"/>
        <w:ind w:left="1290" w:right="0" w:hanging="739"/>
        <w:jc w:val="left"/>
        <w:rPr>
          <w:rFonts w:ascii="黑体" w:eastAsia="黑体" w:hint="eastAsia"/>
          <w:sz w:val="21"/>
        </w:rPr>
      </w:pPr>
      <w:r>
        <w:rPr>
          <w:rFonts w:ascii="黑体" w:eastAsia="黑体" w:hint="eastAsia"/>
          <w:spacing w:val="-3"/>
          <w:sz w:val="21"/>
        </w:rPr>
        <w:t>产品生命周期模型的稳健性评价</w:t>
      </w:r>
    </w:p>
    <w:p>
      <w:pPr>
        <w:pStyle w:val="BodyText"/>
        <w:spacing w:before="12"/>
        <w:rPr>
          <w:rFonts w:ascii="黑体"/>
          <w:sz w:val="18"/>
        </w:rPr>
      </w:pPr>
    </w:p>
    <w:p>
      <w:pPr>
        <w:pStyle w:val="BodyText"/>
        <w:spacing w:line="244" w:lineRule="auto"/>
        <w:ind w:left="552" w:right="632" w:firstLine="420"/>
      </w:pPr>
      <w:r>
        <w:rPr/>
        <w:t>城镇污泥干化碳化处理一体化装备产品生命周期模型的稳健性评价用于评价系统边界、数据来源、分配选择和生命周期影响类型等方法选择对结果的影响程度。 </w:t>
      </w:r>
    </w:p>
    <w:p>
      <w:pPr>
        <w:pStyle w:val="BodyText"/>
        <w:spacing w:line="265" w:lineRule="exact"/>
        <w:ind w:left="973"/>
      </w:pPr>
      <w:r>
        <w:rPr/>
        <w:t>宜用于评价城镇污泥干化碳化处理一体化装备产品生命周期模型稳健性的工具包括： </w:t>
      </w:r>
    </w:p>
    <w:p>
      <w:pPr>
        <w:pStyle w:val="ListParagraph"/>
        <w:numPr>
          <w:ilvl w:val="3"/>
          <w:numId w:val="19"/>
        </w:numPr>
        <w:tabs>
          <w:tab w:pos="1311" w:val="left" w:leader="none"/>
        </w:tabs>
        <w:spacing w:line="242" w:lineRule="auto" w:before="4" w:after="0"/>
        <w:ind w:left="1412" w:right="651" w:hanging="420"/>
        <w:jc w:val="left"/>
        <w:rPr>
          <w:sz w:val="21"/>
        </w:rPr>
      </w:pPr>
      <w:r>
        <w:rPr>
          <w:spacing w:val="-2"/>
          <w:sz w:val="21"/>
        </w:rPr>
        <w:t>完整性检查：评价数据清单，以确保其相对于确定的目标、范围、系统边界和质量准则完整。</w:t>
      </w:r>
      <w:r>
        <w:rPr>
          <w:spacing w:val="-3"/>
          <w:sz w:val="21"/>
        </w:rPr>
        <w:t>这包括过程范围的完整性和输入</w:t>
      </w:r>
      <w:r>
        <w:rPr>
          <w:sz w:val="21"/>
        </w:rPr>
        <w:t>/</w:t>
      </w:r>
      <w:r>
        <w:rPr>
          <w:spacing w:val="-3"/>
          <w:sz w:val="21"/>
        </w:rPr>
        <w:t>输出范围；</w:t>
      </w:r>
      <w:r>
        <w:rPr>
          <w:sz w:val="21"/>
        </w:rPr>
        <w:t> </w:t>
      </w:r>
    </w:p>
    <w:p>
      <w:pPr>
        <w:pStyle w:val="ListParagraph"/>
        <w:numPr>
          <w:ilvl w:val="3"/>
          <w:numId w:val="19"/>
        </w:numPr>
        <w:tabs>
          <w:tab w:pos="1311" w:val="left" w:leader="none"/>
        </w:tabs>
        <w:spacing w:line="244" w:lineRule="auto" w:before="0" w:after="0"/>
        <w:ind w:left="1412" w:right="839" w:hanging="420"/>
        <w:jc w:val="left"/>
        <w:rPr>
          <w:sz w:val="21"/>
        </w:rPr>
      </w:pPr>
      <w:r>
        <w:rPr>
          <w:spacing w:val="-1"/>
          <w:sz w:val="21"/>
        </w:rPr>
        <w:t>敏感性检查：通过确定最终结果和结论是如何受到数据、分配方法或类型参数等的不确定性 </w:t>
      </w:r>
      <w:r>
        <w:rPr>
          <w:spacing w:val="-3"/>
          <w:sz w:val="21"/>
        </w:rPr>
        <w:t>的影响，来评价其可靠性； </w:t>
      </w:r>
    </w:p>
    <w:p>
      <w:pPr>
        <w:pStyle w:val="ListParagraph"/>
        <w:numPr>
          <w:ilvl w:val="3"/>
          <w:numId w:val="19"/>
        </w:numPr>
        <w:tabs>
          <w:tab w:pos="1292" w:val="left" w:leader="none"/>
        </w:tabs>
        <w:spacing w:line="265" w:lineRule="exact" w:before="0" w:after="0"/>
        <w:ind w:left="1291" w:right="0" w:hanging="319"/>
        <w:jc w:val="left"/>
        <w:rPr>
          <w:sz w:val="21"/>
        </w:rPr>
      </w:pPr>
      <w:r>
        <w:rPr>
          <w:spacing w:val="-3"/>
          <w:sz w:val="21"/>
        </w:rPr>
        <w:t>一致性检查：一致性检查的目的是确认假设、方法和数据是否与目的和范围的要求相一致。</w:t>
      </w:r>
      <w:r>
        <w:rPr>
          <w:sz w:val="21"/>
        </w:rPr>
        <w:t> </w:t>
      </w:r>
    </w:p>
    <w:p>
      <w:pPr>
        <w:pStyle w:val="BodyText"/>
        <w:spacing w:before="1"/>
        <w:rPr>
          <w:sz w:val="19"/>
        </w:rPr>
      </w:pPr>
    </w:p>
    <w:p>
      <w:pPr>
        <w:pStyle w:val="ListParagraph"/>
        <w:numPr>
          <w:ilvl w:val="2"/>
          <w:numId w:val="19"/>
        </w:numPr>
        <w:tabs>
          <w:tab w:pos="1289" w:val="left" w:leader="none"/>
          <w:tab w:pos="1291" w:val="left" w:leader="none"/>
        </w:tabs>
        <w:spacing w:line="240" w:lineRule="auto" w:before="0" w:after="0"/>
        <w:ind w:left="1290" w:right="0" w:hanging="739"/>
        <w:jc w:val="left"/>
        <w:rPr>
          <w:rFonts w:ascii="黑体" w:eastAsia="黑体" w:hint="eastAsia"/>
          <w:sz w:val="21"/>
        </w:rPr>
      </w:pPr>
      <w:r>
        <w:rPr>
          <w:rFonts w:ascii="黑体" w:eastAsia="黑体" w:hint="eastAsia"/>
          <w:spacing w:val="-3"/>
          <w:sz w:val="21"/>
        </w:rPr>
        <w:t>热点问题识别与改进方案确定</w:t>
      </w:r>
    </w:p>
    <w:p>
      <w:pPr>
        <w:pStyle w:val="BodyText"/>
        <w:spacing w:before="11"/>
        <w:rPr>
          <w:rFonts w:ascii="黑体"/>
          <w:sz w:val="18"/>
        </w:rPr>
      </w:pPr>
    </w:p>
    <w:p>
      <w:pPr>
        <w:pStyle w:val="BodyText"/>
        <w:spacing w:line="244" w:lineRule="auto"/>
        <w:ind w:left="552" w:right="843" w:firstLine="420"/>
      </w:pPr>
      <w:r>
        <w:rPr/>
        <w:t>为了产生环境效益或至少将环境责任降至最低，根据清单分析和影响评价阶段的信息提出一系列与城镇污泥干化碳化处理一体化装备产品相关的绿色设计改进方案。 </w:t>
      </w:r>
    </w:p>
    <w:p>
      <w:pPr>
        <w:pStyle w:val="BodyText"/>
        <w:spacing w:before="5"/>
        <w:rPr>
          <w:sz w:val="18"/>
        </w:rPr>
      </w:pPr>
    </w:p>
    <w:p>
      <w:pPr>
        <w:pStyle w:val="ListParagraph"/>
        <w:numPr>
          <w:ilvl w:val="2"/>
          <w:numId w:val="19"/>
        </w:numPr>
        <w:tabs>
          <w:tab w:pos="1289" w:val="left" w:leader="none"/>
          <w:tab w:pos="1291" w:val="left" w:leader="none"/>
        </w:tabs>
        <w:spacing w:line="240" w:lineRule="auto" w:before="1" w:after="0"/>
        <w:ind w:left="1290" w:right="0" w:hanging="739"/>
        <w:jc w:val="left"/>
        <w:rPr>
          <w:rFonts w:ascii="黑体" w:eastAsia="黑体" w:hint="eastAsia"/>
          <w:sz w:val="21"/>
        </w:rPr>
      </w:pPr>
      <w:r>
        <w:rPr>
          <w:rFonts w:ascii="黑体" w:eastAsia="黑体" w:hint="eastAsia"/>
          <w:spacing w:val="-3"/>
          <w:sz w:val="21"/>
        </w:rPr>
        <w:t>结论、建议和限制</w:t>
      </w:r>
    </w:p>
    <w:p>
      <w:pPr>
        <w:pStyle w:val="BodyText"/>
        <w:spacing w:before="1"/>
        <w:rPr>
          <w:rFonts w:ascii="黑体"/>
          <w:sz w:val="19"/>
        </w:rPr>
      </w:pPr>
    </w:p>
    <w:p>
      <w:pPr>
        <w:pStyle w:val="BodyText"/>
        <w:spacing w:line="242" w:lineRule="auto"/>
        <w:ind w:left="552" w:right="843" w:firstLine="420"/>
      </w:pPr>
      <w:r>
        <w:rPr/>
        <w:t>根据确定的城镇污泥干化碳化处理一体化装备产品生命周期评价的目标和范围阐述结论、建议和限制。结论宜包括评价结果、“热点问题”摘要和改进方案。 </w:t>
      </w:r>
    </w:p>
    <w:p>
      <w:pPr>
        <w:pStyle w:val="BodyText"/>
        <w:spacing w:before="1"/>
        <w:ind w:left="973"/>
      </w:pPr>
      <w:r>
        <w:rPr>
          <w:w w:val="100"/>
        </w:rPr>
        <w:t> </w:t>
      </w:r>
    </w:p>
    <w:p>
      <w:pPr>
        <w:spacing w:after="0"/>
        <w:sectPr>
          <w:pgSz w:w="11910" w:h="16840"/>
          <w:pgMar w:header="1138" w:footer="1141" w:top="1320" w:bottom="1340" w:left="580" w:right="580"/>
        </w:sect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707" w:val="left" w:leader="none"/>
          <w:tab w:pos="1127" w:val="left" w:leader="none"/>
        </w:tabs>
        <w:ind w:left="285"/>
        <w:jc w:val="center"/>
        <w:rPr>
          <w:rFonts w:ascii="黑体" w:eastAsia="黑体" w:hint="eastAsia"/>
        </w:rPr>
      </w:pPr>
      <w:bookmarkStart w:name="_bookmark9" w:id="18"/>
      <w:bookmarkEnd w:id="18"/>
      <w:r>
        <w:rPr/>
      </w:r>
      <w:r>
        <w:rPr>
          <w:rFonts w:ascii="黑体" w:eastAsia="黑体" w:hint="eastAsia"/>
        </w:rPr>
        <w:t>附</w:t>
        <w:tab/>
        <w:t>录</w:t>
        <w:tab/>
        <w:t>C</w:t>
      </w:r>
    </w:p>
    <w:p>
      <w:pPr>
        <w:pStyle w:val="BodyText"/>
        <w:spacing w:line="242" w:lineRule="auto" w:before="2"/>
        <w:ind w:left="4885" w:right="4596" w:hanging="3"/>
        <w:jc w:val="center"/>
        <w:rPr>
          <w:rFonts w:ascii="黑体" w:eastAsia="黑体" w:hint="eastAsia"/>
        </w:rPr>
      </w:pPr>
      <w:r>
        <w:rPr>
          <w:rFonts w:ascii="黑体" w:eastAsia="黑体" w:hint="eastAsia"/>
        </w:rPr>
        <w:t>（</w:t>
      </w:r>
      <w:r>
        <w:rPr>
          <w:rFonts w:ascii="黑体" w:eastAsia="黑体" w:hint="eastAsia"/>
          <w:spacing w:val="-2"/>
        </w:rPr>
        <w:t>资料性</w:t>
      </w:r>
      <w:r>
        <w:rPr>
          <w:rFonts w:ascii="黑体" w:eastAsia="黑体" w:hint="eastAsia"/>
        </w:rPr>
        <w:t>） </w:t>
      </w:r>
      <w:r>
        <w:rPr>
          <w:rFonts w:ascii="黑体" w:eastAsia="黑体" w:hint="eastAsia"/>
          <w:spacing w:val="-5"/>
        </w:rPr>
        <w:t>数据收集清单</w:t>
      </w:r>
    </w:p>
    <w:p>
      <w:pPr>
        <w:pStyle w:val="BodyText"/>
        <w:spacing w:before="6"/>
        <w:rPr>
          <w:rFonts w:ascii="黑体"/>
          <w:sz w:val="16"/>
        </w:rPr>
      </w:pPr>
    </w:p>
    <w:p>
      <w:pPr>
        <w:pStyle w:val="ListParagraph"/>
        <w:numPr>
          <w:ilvl w:val="1"/>
          <w:numId w:val="20"/>
        </w:numPr>
        <w:tabs>
          <w:tab w:pos="1364" w:val="left" w:leader="none"/>
          <w:tab w:pos="1365" w:val="left" w:leader="none"/>
        </w:tabs>
        <w:spacing w:line="240" w:lineRule="auto" w:before="71" w:after="0"/>
        <w:ind w:left="1364" w:right="0" w:hanging="527"/>
        <w:jc w:val="left"/>
        <w:rPr>
          <w:rFonts w:ascii="黑体" w:eastAsia="黑体" w:hint="eastAsia"/>
          <w:sz w:val="21"/>
        </w:rPr>
      </w:pPr>
      <w:r>
        <w:rPr>
          <w:rFonts w:ascii="黑体" w:eastAsia="黑体" w:hint="eastAsia"/>
          <w:spacing w:val="-3"/>
          <w:sz w:val="21"/>
        </w:rPr>
        <w:t>原材料和零部件用量及运输清单</w:t>
      </w:r>
    </w:p>
    <w:p>
      <w:pPr>
        <w:pStyle w:val="BodyText"/>
        <w:spacing w:before="12"/>
        <w:rPr>
          <w:rFonts w:ascii="黑体"/>
          <w:sz w:val="18"/>
        </w:rPr>
      </w:pPr>
    </w:p>
    <w:p>
      <w:pPr>
        <w:pStyle w:val="BodyText"/>
        <w:ind w:left="1258"/>
      </w:pPr>
      <w:r>
        <w:rPr/>
        <w:t>原材料和零部件用量及运输清单见表 C.1。 </w:t>
      </w:r>
    </w:p>
    <w:p>
      <w:pPr>
        <w:pStyle w:val="BodyText"/>
        <w:tabs>
          <w:tab w:pos="1075" w:val="left" w:leader="none"/>
        </w:tabs>
        <w:spacing w:before="122"/>
        <w:ind w:left="285"/>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C.1</w:t>
        <w:tab/>
      </w:r>
      <w:r>
        <w:rPr>
          <w:rFonts w:ascii="黑体" w:eastAsia="黑体" w:hint="eastAsia"/>
          <w:spacing w:val="-3"/>
        </w:rPr>
        <w:t>原</w:t>
      </w:r>
      <w:r>
        <w:rPr>
          <w:rFonts w:ascii="黑体" w:eastAsia="黑体" w:hint="eastAsia"/>
        </w:rPr>
        <w:t>材</w:t>
      </w:r>
      <w:r>
        <w:rPr>
          <w:rFonts w:ascii="黑体" w:eastAsia="黑体" w:hint="eastAsia"/>
          <w:spacing w:val="-3"/>
        </w:rPr>
        <w:t>料</w:t>
      </w:r>
      <w:r>
        <w:rPr>
          <w:rFonts w:ascii="黑体" w:eastAsia="黑体" w:hint="eastAsia"/>
        </w:rPr>
        <w:t>和</w:t>
      </w:r>
      <w:r>
        <w:rPr>
          <w:rFonts w:ascii="黑体" w:eastAsia="黑体" w:hint="eastAsia"/>
          <w:spacing w:val="-3"/>
        </w:rPr>
        <w:t>零</w:t>
      </w:r>
      <w:r>
        <w:rPr>
          <w:rFonts w:ascii="黑体" w:eastAsia="黑体" w:hint="eastAsia"/>
        </w:rPr>
        <w:t>部</w:t>
      </w:r>
      <w:r>
        <w:rPr>
          <w:rFonts w:ascii="黑体" w:eastAsia="黑体" w:hint="eastAsia"/>
          <w:spacing w:val="-3"/>
        </w:rPr>
        <w:t>件</w:t>
      </w:r>
      <w:r>
        <w:rPr>
          <w:rFonts w:ascii="黑体" w:eastAsia="黑体" w:hint="eastAsia"/>
        </w:rPr>
        <w:t>用量</w:t>
      </w:r>
      <w:r>
        <w:rPr>
          <w:rFonts w:ascii="黑体" w:eastAsia="黑体" w:hint="eastAsia"/>
          <w:spacing w:val="-3"/>
        </w:rPr>
        <w:t>及</w:t>
      </w:r>
      <w:r>
        <w:rPr>
          <w:rFonts w:ascii="黑体" w:eastAsia="黑体" w:hint="eastAsia"/>
        </w:rPr>
        <w:t>运</w:t>
      </w:r>
      <w:r>
        <w:rPr>
          <w:rFonts w:ascii="黑体" w:eastAsia="黑体" w:hint="eastAsia"/>
          <w:spacing w:val="-3"/>
        </w:rPr>
        <w:t>输</w:t>
      </w:r>
      <w:r>
        <w:rPr>
          <w:rFonts w:ascii="黑体" w:eastAsia="黑体" w:hint="eastAsia"/>
        </w:rPr>
        <w:t>清单</w:t>
      </w:r>
    </w:p>
    <w:p>
      <w:pPr>
        <w:spacing w:before="123" w:after="3"/>
        <w:ind w:left="1198" w:right="0" w:firstLine="0"/>
        <w:jc w:val="left"/>
        <w:rPr>
          <w:sz w:val="18"/>
        </w:rPr>
      </w:pPr>
      <w:r>
        <w:rPr>
          <w:sz w:val="18"/>
        </w:rPr>
        <w:t>起始时间： 年 月 日至 年 月 日 </w:t>
      </w: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567"/>
        <w:gridCol w:w="1420"/>
        <w:gridCol w:w="2553"/>
        <w:gridCol w:w="1134"/>
        <w:gridCol w:w="1279"/>
        <w:gridCol w:w="702"/>
      </w:tblGrid>
      <w:tr>
        <w:trPr>
          <w:trHeight w:val="467" w:hRule="atLeast"/>
        </w:trPr>
        <w:tc>
          <w:tcPr>
            <w:tcW w:w="1697" w:type="dxa"/>
          </w:tcPr>
          <w:p>
            <w:pPr>
              <w:pStyle w:val="TableParagraph"/>
              <w:spacing w:before="117"/>
              <w:ind w:left="81" w:right="-29"/>
              <w:rPr>
                <w:sz w:val="18"/>
              </w:rPr>
            </w:pPr>
            <w:r>
              <w:rPr>
                <w:sz w:val="18"/>
              </w:rPr>
              <w:t>原材料/零部件名称 </w:t>
            </w:r>
          </w:p>
        </w:tc>
        <w:tc>
          <w:tcPr>
            <w:tcW w:w="567" w:type="dxa"/>
          </w:tcPr>
          <w:p>
            <w:pPr>
              <w:pStyle w:val="TableParagraph"/>
              <w:spacing w:before="117"/>
              <w:ind w:left="100"/>
              <w:rPr>
                <w:sz w:val="18"/>
              </w:rPr>
            </w:pPr>
            <w:r>
              <w:rPr>
                <w:sz w:val="18"/>
              </w:rPr>
              <w:t>单位 </w:t>
            </w:r>
          </w:p>
        </w:tc>
        <w:tc>
          <w:tcPr>
            <w:tcW w:w="1420" w:type="dxa"/>
          </w:tcPr>
          <w:p>
            <w:pPr>
              <w:pStyle w:val="TableParagraph"/>
              <w:spacing w:before="117"/>
              <w:ind w:left="75" w:right="-29"/>
              <w:rPr>
                <w:sz w:val="18"/>
              </w:rPr>
            </w:pPr>
            <w:r>
              <w:rPr>
                <w:sz w:val="18"/>
              </w:rPr>
              <w:t>单位产品消耗量 </w:t>
            </w:r>
          </w:p>
        </w:tc>
        <w:tc>
          <w:tcPr>
            <w:tcW w:w="2553" w:type="dxa"/>
          </w:tcPr>
          <w:p>
            <w:pPr>
              <w:pStyle w:val="TableParagraph"/>
              <w:spacing w:line="230" w:lineRule="exact" w:before="0"/>
              <w:ind w:left="36" w:right="36"/>
              <w:jc w:val="center"/>
              <w:rPr>
                <w:sz w:val="18"/>
              </w:rPr>
            </w:pPr>
            <w:r>
              <w:rPr>
                <w:sz w:val="18"/>
              </w:rPr>
              <w:t>运输方式(货车、火车、飞机、</w:t>
            </w:r>
          </w:p>
          <w:p>
            <w:pPr>
              <w:pStyle w:val="TableParagraph"/>
              <w:spacing w:line="213" w:lineRule="exact" w:before="4"/>
              <w:ind w:left="125" w:right="36"/>
              <w:jc w:val="center"/>
              <w:rPr>
                <w:sz w:val="18"/>
              </w:rPr>
            </w:pPr>
            <w:r>
              <w:rPr>
                <w:sz w:val="18"/>
              </w:rPr>
              <w:t>轮船或其他方式) </w:t>
            </w:r>
          </w:p>
        </w:tc>
        <w:tc>
          <w:tcPr>
            <w:tcW w:w="1134" w:type="dxa"/>
          </w:tcPr>
          <w:p>
            <w:pPr>
              <w:pStyle w:val="TableParagraph"/>
              <w:spacing w:before="117"/>
              <w:ind w:left="66" w:right="-29"/>
              <w:rPr>
                <w:sz w:val="18"/>
              </w:rPr>
            </w:pPr>
            <w:r>
              <w:rPr>
                <w:sz w:val="18"/>
              </w:rPr>
              <w:t>运输距离/km </w:t>
            </w:r>
          </w:p>
        </w:tc>
        <w:tc>
          <w:tcPr>
            <w:tcW w:w="1279" w:type="dxa"/>
          </w:tcPr>
          <w:p>
            <w:pPr>
              <w:pStyle w:val="TableParagraph"/>
              <w:spacing w:before="117"/>
              <w:ind w:left="93"/>
              <w:rPr>
                <w:sz w:val="18"/>
              </w:rPr>
            </w:pPr>
            <w:r>
              <w:rPr>
                <w:sz w:val="18"/>
              </w:rPr>
              <w:t>取样程序描述 </w:t>
            </w:r>
          </w:p>
        </w:tc>
        <w:tc>
          <w:tcPr>
            <w:tcW w:w="702" w:type="dxa"/>
          </w:tcPr>
          <w:p>
            <w:pPr>
              <w:pStyle w:val="TableParagraph"/>
              <w:spacing w:before="117"/>
              <w:ind w:left="161"/>
              <w:rPr>
                <w:sz w:val="18"/>
              </w:rPr>
            </w:pPr>
            <w:r>
              <w:rPr>
                <w:sz w:val="18"/>
              </w:rPr>
              <w:t>来源 </w:t>
            </w:r>
          </w:p>
        </w:tc>
      </w:tr>
      <w:tr>
        <w:trPr>
          <w:trHeight w:val="340" w:hRule="atLeast"/>
        </w:trPr>
        <w:tc>
          <w:tcPr>
            <w:tcW w:w="1697" w:type="dxa"/>
          </w:tcPr>
          <w:p>
            <w:pPr>
              <w:pStyle w:val="TableParagraph"/>
              <w:spacing w:before="53"/>
              <w:rPr>
                <w:sz w:val="18"/>
              </w:rPr>
            </w:pPr>
            <w:r>
              <w:rPr>
                <w:sz w:val="18"/>
              </w:rPr>
              <w:t> </w:t>
            </w:r>
          </w:p>
        </w:tc>
        <w:tc>
          <w:tcPr>
            <w:tcW w:w="567" w:type="dxa"/>
          </w:tcPr>
          <w:p>
            <w:pPr>
              <w:pStyle w:val="TableParagraph"/>
              <w:spacing w:before="53"/>
              <w:ind w:left="25"/>
              <w:rPr>
                <w:sz w:val="18"/>
              </w:rPr>
            </w:pPr>
            <w:r>
              <w:rPr>
                <w:sz w:val="18"/>
              </w:rPr>
              <w:t> </w:t>
            </w:r>
          </w:p>
        </w:tc>
        <w:tc>
          <w:tcPr>
            <w:tcW w:w="1420" w:type="dxa"/>
          </w:tcPr>
          <w:p>
            <w:pPr>
              <w:pStyle w:val="TableParagraph"/>
              <w:spacing w:before="53"/>
              <w:ind w:left="25"/>
              <w:rPr>
                <w:sz w:val="18"/>
              </w:rPr>
            </w:pPr>
            <w:r>
              <w:rPr>
                <w:sz w:val="18"/>
              </w:rPr>
              <w:t> </w:t>
            </w:r>
          </w:p>
        </w:tc>
        <w:tc>
          <w:tcPr>
            <w:tcW w:w="2553" w:type="dxa"/>
          </w:tcPr>
          <w:p>
            <w:pPr>
              <w:pStyle w:val="TableParagraph"/>
              <w:spacing w:before="53"/>
              <w:ind w:left="24"/>
              <w:rPr>
                <w:sz w:val="18"/>
              </w:rPr>
            </w:pPr>
            <w:r>
              <w:rPr>
                <w:sz w:val="18"/>
              </w:rPr>
              <w:t> </w:t>
            </w:r>
          </w:p>
        </w:tc>
        <w:tc>
          <w:tcPr>
            <w:tcW w:w="1134" w:type="dxa"/>
          </w:tcPr>
          <w:p>
            <w:pPr>
              <w:pStyle w:val="TableParagraph"/>
              <w:spacing w:before="53"/>
              <w:ind w:left="22"/>
              <w:rPr>
                <w:sz w:val="18"/>
              </w:rPr>
            </w:pPr>
            <w:r>
              <w:rPr>
                <w:sz w:val="18"/>
              </w:rPr>
              <w:t> </w:t>
            </w:r>
          </w:p>
        </w:tc>
        <w:tc>
          <w:tcPr>
            <w:tcW w:w="1279" w:type="dxa"/>
          </w:tcPr>
          <w:p>
            <w:pPr>
              <w:pStyle w:val="TableParagraph"/>
              <w:spacing w:before="53"/>
              <w:ind w:left="24"/>
              <w:rPr>
                <w:sz w:val="18"/>
              </w:rPr>
            </w:pPr>
            <w:r>
              <w:rPr>
                <w:sz w:val="18"/>
              </w:rPr>
              <w:t> </w:t>
            </w:r>
          </w:p>
        </w:tc>
        <w:tc>
          <w:tcPr>
            <w:tcW w:w="702" w:type="dxa"/>
          </w:tcPr>
          <w:p>
            <w:pPr>
              <w:pStyle w:val="TableParagraph"/>
              <w:spacing w:before="53"/>
              <w:ind w:left="20"/>
              <w:rPr>
                <w:sz w:val="18"/>
              </w:rPr>
            </w:pPr>
            <w:r>
              <w:rPr>
                <w:sz w:val="18"/>
              </w:rPr>
              <w:t> </w:t>
            </w:r>
          </w:p>
        </w:tc>
      </w:tr>
      <w:tr>
        <w:trPr>
          <w:trHeight w:val="340" w:hRule="atLeast"/>
        </w:trPr>
        <w:tc>
          <w:tcPr>
            <w:tcW w:w="1697" w:type="dxa"/>
          </w:tcPr>
          <w:p>
            <w:pPr>
              <w:pStyle w:val="TableParagraph"/>
              <w:rPr>
                <w:sz w:val="18"/>
              </w:rPr>
            </w:pPr>
            <w:r>
              <w:rPr>
                <w:sz w:val="18"/>
              </w:rPr>
              <w:t> </w:t>
            </w:r>
          </w:p>
        </w:tc>
        <w:tc>
          <w:tcPr>
            <w:tcW w:w="567" w:type="dxa"/>
          </w:tcPr>
          <w:p>
            <w:pPr>
              <w:pStyle w:val="TableParagraph"/>
              <w:ind w:left="25"/>
              <w:rPr>
                <w:sz w:val="18"/>
              </w:rPr>
            </w:pPr>
            <w:r>
              <w:rPr>
                <w:sz w:val="18"/>
              </w:rPr>
              <w:t> </w:t>
            </w:r>
          </w:p>
        </w:tc>
        <w:tc>
          <w:tcPr>
            <w:tcW w:w="1420" w:type="dxa"/>
          </w:tcPr>
          <w:p>
            <w:pPr>
              <w:pStyle w:val="TableParagraph"/>
              <w:ind w:left="25"/>
              <w:rPr>
                <w:sz w:val="18"/>
              </w:rPr>
            </w:pPr>
            <w:r>
              <w:rPr>
                <w:sz w:val="18"/>
              </w:rPr>
              <w:t> </w:t>
            </w:r>
          </w:p>
        </w:tc>
        <w:tc>
          <w:tcPr>
            <w:tcW w:w="2553" w:type="dxa"/>
          </w:tcPr>
          <w:p>
            <w:pPr>
              <w:pStyle w:val="TableParagraph"/>
              <w:ind w:left="24"/>
              <w:rPr>
                <w:sz w:val="18"/>
              </w:rPr>
            </w:pPr>
            <w:r>
              <w:rPr>
                <w:sz w:val="18"/>
              </w:rPr>
              <w:t> </w:t>
            </w:r>
          </w:p>
        </w:tc>
        <w:tc>
          <w:tcPr>
            <w:tcW w:w="1134" w:type="dxa"/>
          </w:tcPr>
          <w:p>
            <w:pPr>
              <w:pStyle w:val="TableParagraph"/>
              <w:ind w:left="22"/>
              <w:rPr>
                <w:sz w:val="18"/>
              </w:rPr>
            </w:pPr>
            <w:r>
              <w:rPr>
                <w:sz w:val="18"/>
              </w:rPr>
              <w:t> </w:t>
            </w:r>
          </w:p>
        </w:tc>
        <w:tc>
          <w:tcPr>
            <w:tcW w:w="1279" w:type="dxa"/>
          </w:tcPr>
          <w:p>
            <w:pPr>
              <w:pStyle w:val="TableParagraph"/>
              <w:ind w:left="24"/>
              <w:rPr>
                <w:sz w:val="18"/>
              </w:rPr>
            </w:pPr>
            <w:r>
              <w:rPr>
                <w:sz w:val="18"/>
              </w:rPr>
              <w:t> </w:t>
            </w:r>
          </w:p>
        </w:tc>
        <w:tc>
          <w:tcPr>
            <w:tcW w:w="702" w:type="dxa"/>
          </w:tcPr>
          <w:p>
            <w:pPr>
              <w:pStyle w:val="TableParagraph"/>
              <w:ind w:left="20"/>
              <w:rPr>
                <w:sz w:val="18"/>
              </w:rPr>
            </w:pPr>
            <w:r>
              <w:rPr>
                <w:sz w:val="18"/>
              </w:rPr>
              <w:t> </w:t>
            </w:r>
          </w:p>
        </w:tc>
      </w:tr>
      <w:tr>
        <w:trPr>
          <w:trHeight w:val="337" w:hRule="atLeast"/>
        </w:trPr>
        <w:tc>
          <w:tcPr>
            <w:tcW w:w="1697" w:type="dxa"/>
          </w:tcPr>
          <w:p>
            <w:pPr>
              <w:pStyle w:val="TableParagraph"/>
              <w:rPr>
                <w:sz w:val="18"/>
              </w:rPr>
            </w:pPr>
            <w:r>
              <w:rPr>
                <w:sz w:val="18"/>
              </w:rPr>
              <w:t> </w:t>
            </w:r>
          </w:p>
        </w:tc>
        <w:tc>
          <w:tcPr>
            <w:tcW w:w="567" w:type="dxa"/>
          </w:tcPr>
          <w:p>
            <w:pPr>
              <w:pStyle w:val="TableParagraph"/>
              <w:ind w:left="25"/>
              <w:rPr>
                <w:sz w:val="18"/>
              </w:rPr>
            </w:pPr>
            <w:r>
              <w:rPr>
                <w:sz w:val="18"/>
              </w:rPr>
              <w:t> </w:t>
            </w:r>
          </w:p>
        </w:tc>
        <w:tc>
          <w:tcPr>
            <w:tcW w:w="1420" w:type="dxa"/>
          </w:tcPr>
          <w:p>
            <w:pPr>
              <w:pStyle w:val="TableParagraph"/>
              <w:ind w:left="25"/>
              <w:rPr>
                <w:sz w:val="18"/>
              </w:rPr>
            </w:pPr>
            <w:r>
              <w:rPr>
                <w:sz w:val="18"/>
              </w:rPr>
              <w:t> </w:t>
            </w:r>
          </w:p>
        </w:tc>
        <w:tc>
          <w:tcPr>
            <w:tcW w:w="2553" w:type="dxa"/>
          </w:tcPr>
          <w:p>
            <w:pPr>
              <w:pStyle w:val="TableParagraph"/>
              <w:ind w:left="24"/>
              <w:rPr>
                <w:sz w:val="18"/>
              </w:rPr>
            </w:pPr>
            <w:r>
              <w:rPr>
                <w:sz w:val="18"/>
              </w:rPr>
              <w:t> </w:t>
            </w:r>
          </w:p>
        </w:tc>
        <w:tc>
          <w:tcPr>
            <w:tcW w:w="1134" w:type="dxa"/>
          </w:tcPr>
          <w:p>
            <w:pPr>
              <w:pStyle w:val="TableParagraph"/>
              <w:ind w:left="22"/>
              <w:rPr>
                <w:sz w:val="18"/>
              </w:rPr>
            </w:pPr>
            <w:r>
              <w:rPr>
                <w:sz w:val="18"/>
              </w:rPr>
              <w:t> </w:t>
            </w:r>
          </w:p>
        </w:tc>
        <w:tc>
          <w:tcPr>
            <w:tcW w:w="1279" w:type="dxa"/>
          </w:tcPr>
          <w:p>
            <w:pPr>
              <w:pStyle w:val="TableParagraph"/>
              <w:ind w:left="24"/>
              <w:rPr>
                <w:sz w:val="18"/>
              </w:rPr>
            </w:pPr>
            <w:r>
              <w:rPr>
                <w:sz w:val="18"/>
              </w:rPr>
              <w:t> </w:t>
            </w:r>
          </w:p>
        </w:tc>
        <w:tc>
          <w:tcPr>
            <w:tcW w:w="702" w:type="dxa"/>
          </w:tcPr>
          <w:p>
            <w:pPr>
              <w:pStyle w:val="TableParagraph"/>
              <w:ind w:left="20"/>
              <w:rPr>
                <w:sz w:val="18"/>
              </w:rPr>
            </w:pPr>
            <w:r>
              <w:rPr>
                <w:sz w:val="18"/>
              </w:rPr>
              <w:t> </w:t>
            </w:r>
          </w:p>
        </w:tc>
      </w:tr>
      <w:tr>
        <w:trPr>
          <w:trHeight w:val="340" w:hRule="atLeast"/>
        </w:trPr>
        <w:tc>
          <w:tcPr>
            <w:tcW w:w="1697" w:type="dxa"/>
          </w:tcPr>
          <w:p>
            <w:pPr>
              <w:pStyle w:val="TableParagraph"/>
              <w:spacing w:before="55"/>
              <w:rPr>
                <w:sz w:val="18"/>
              </w:rPr>
            </w:pPr>
            <w:r>
              <w:rPr>
                <w:sz w:val="18"/>
              </w:rPr>
              <w:t> </w:t>
            </w:r>
          </w:p>
        </w:tc>
        <w:tc>
          <w:tcPr>
            <w:tcW w:w="567" w:type="dxa"/>
          </w:tcPr>
          <w:p>
            <w:pPr>
              <w:pStyle w:val="TableParagraph"/>
              <w:spacing w:before="55"/>
              <w:ind w:left="25"/>
              <w:rPr>
                <w:sz w:val="18"/>
              </w:rPr>
            </w:pPr>
            <w:r>
              <w:rPr>
                <w:sz w:val="18"/>
              </w:rPr>
              <w:t> </w:t>
            </w:r>
          </w:p>
        </w:tc>
        <w:tc>
          <w:tcPr>
            <w:tcW w:w="1420" w:type="dxa"/>
          </w:tcPr>
          <w:p>
            <w:pPr>
              <w:pStyle w:val="TableParagraph"/>
              <w:spacing w:before="55"/>
              <w:ind w:left="25"/>
              <w:rPr>
                <w:sz w:val="18"/>
              </w:rPr>
            </w:pPr>
            <w:r>
              <w:rPr>
                <w:sz w:val="18"/>
              </w:rPr>
              <w:t> </w:t>
            </w:r>
          </w:p>
        </w:tc>
        <w:tc>
          <w:tcPr>
            <w:tcW w:w="2553" w:type="dxa"/>
          </w:tcPr>
          <w:p>
            <w:pPr>
              <w:pStyle w:val="TableParagraph"/>
              <w:spacing w:before="55"/>
              <w:ind w:left="24"/>
              <w:rPr>
                <w:sz w:val="18"/>
              </w:rPr>
            </w:pPr>
            <w:r>
              <w:rPr>
                <w:sz w:val="18"/>
              </w:rPr>
              <w:t> </w:t>
            </w:r>
          </w:p>
        </w:tc>
        <w:tc>
          <w:tcPr>
            <w:tcW w:w="1134" w:type="dxa"/>
          </w:tcPr>
          <w:p>
            <w:pPr>
              <w:pStyle w:val="TableParagraph"/>
              <w:spacing w:before="55"/>
              <w:ind w:left="22"/>
              <w:rPr>
                <w:sz w:val="18"/>
              </w:rPr>
            </w:pPr>
            <w:r>
              <w:rPr>
                <w:sz w:val="18"/>
              </w:rPr>
              <w:t> </w:t>
            </w:r>
          </w:p>
        </w:tc>
        <w:tc>
          <w:tcPr>
            <w:tcW w:w="1279" w:type="dxa"/>
          </w:tcPr>
          <w:p>
            <w:pPr>
              <w:pStyle w:val="TableParagraph"/>
              <w:spacing w:before="55"/>
              <w:ind w:left="24"/>
              <w:rPr>
                <w:sz w:val="18"/>
              </w:rPr>
            </w:pPr>
            <w:r>
              <w:rPr>
                <w:sz w:val="18"/>
              </w:rPr>
              <w:t> </w:t>
            </w:r>
          </w:p>
        </w:tc>
        <w:tc>
          <w:tcPr>
            <w:tcW w:w="702" w:type="dxa"/>
          </w:tcPr>
          <w:p>
            <w:pPr>
              <w:pStyle w:val="TableParagraph"/>
              <w:spacing w:before="55"/>
              <w:ind w:left="20"/>
              <w:rPr>
                <w:sz w:val="18"/>
              </w:rPr>
            </w:pPr>
            <w:r>
              <w:rPr>
                <w:sz w:val="18"/>
              </w:rPr>
              <w:t> </w:t>
            </w:r>
          </w:p>
        </w:tc>
      </w:tr>
    </w:tbl>
    <w:p>
      <w:pPr>
        <w:spacing w:before="0"/>
        <w:ind w:left="1198" w:right="0" w:firstLine="0"/>
        <w:jc w:val="left"/>
        <w:rPr>
          <w:sz w:val="18"/>
        </w:rPr>
      </w:pPr>
      <w:r>
        <w:rPr>
          <w:sz w:val="18"/>
        </w:rPr>
        <w:t>制 表 人 ： 制 表 日 期 ： </w:t>
      </w:r>
    </w:p>
    <w:p>
      <w:pPr>
        <w:pStyle w:val="BodyText"/>
        <w:spacing w:before="2"/>
        <w:rPr>
          <w:sz w:val="19"/>
        </w:rPr>
      </w:pPr>
    </w:p>
    <w:p>
      <w:pPr>
        <w:pStyle w:val="ListParagraph"/>
        <w:numPr>
          <w:ilvl w:val="1"/>
          <w:numId w:val="20"/>
        </w:numPr>
        <w:tabs>
          <w:tab w:pos="1364" w:val="left" w:leader="none"/>
          <w:tab w:pos="1365" w:val="left" w:leader="none"/>
        </w:tabs>
        <w:spacing w:line="240" w:lineRule="auto" w:before="0" w:after="0"/>
        <w:ind w:left="1364" w:right="0" w:hanging="527"/>
        <w:jc w:val="left"/>
        <w:rPr>
          <w:rFonts w:ascii="黑体" w:eastAsia="黑体" w:hint="eastAsia"/>
          <w:sz w:val="21"/>
        </w:rPr>
      </w:pPr>
      <w:r>
        <w:rPr>
          <w:rFonts w:ascii="黑体" w:eastAsia="黑体" w:hint="eastAsia"/>
          <w:spacing w:val="-3"/>
          <w:sz w:val="21"/>
        </w:rPr>
        <w:t>生产过程资源、能源消耗所需清单</w:t>
      </w:r>
    </w:p>
    <w:p>
      <w:pPr>
        <w:pStyle w:val="BodyText"/>
        <w:spacing w:before="11"/>
        <w:rPr>
          <w:rFonts w:ascii="黑体"/>
          <w:sz w:val="18"/>
        </w:rPr>
      </w:pPr>
    </w:p>
    <w:p>
      <w:pPr>
        <w:pStyle w:val="BodyText"/>
        <w:spacing w:before="1"/>
        <w:ind w:left="1258"/>
      </w:pPr>
      <w:r>
        <w:rPr/>
        <w:t>生产过程资源、能源消耗所需清单见表 C.2。 </w:t>
      </w:r>
    </w:p>
    <w:p>
      <w:pPr>
        <w:pStyle w:val="BodyText"/>
        <w:tabs>
          <w:tab w:pos="1077" w:val="left" w:leader="none"/>
        </w:tabs>
        <w:spacing w:before="124"/>
        <w:ind w:left="288"/>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C.2</w:t>
        <w:tab/>
      </w:r>
      <w:r>
        <w:rPr>
          <w:rFonts w:ascii="黑体" w:eastAsia="黑体" w:hint="eastAsia"/>
          <w:spacing w:val="-3"/>
        </w:rPr>
        <w:t>生</w:t>
      </w:r>
      <w:r>
        <w:rPr>
          <w:rFonts w:ascii="黑体" w:eastAsia="黑体" w:hint="eastAsia"/>
        </w:rPr>
        <w:t>产</w:t>
      </w:r>
      <w:r>
        <w:rPr>
          <w:rFonts w:ascii="黑体" w:eastAsia="黑体" w:hint="eastAsia"/>
          <w:spacing w:val="-3"/>
        </w:rPr>
        <w:t>过</w:t>
      </w:r>
      <w:r>
        <w:rPr>
          <w:rFonts w:ascii="黑体" w:eastAsia="黑体" w:hint="eastAsia"/>
        </w:rPr>
        <w:t>程</w:t>
      </w:r>
      <w:r>
        <w:rPr>
          <w:rFonts w:ascii="黑体" w:eastAsia="黑体" w:hint="eastAsia"/>
          <w:spacing w:val="-3"/>
        </w:rPr>
        <w:t>资</w:t>
      </w:r>
      <w:r>
        <w:rPr>
          <w:rFonts w:ascii="黑体" w:eastAsia="黑体" w:hint="eastAsia"/>
        </w:rPr>
        <w:t>源</w:t>
      </w:r>
      <w:r>
        <w:rPr>
          <w:rFonts w:ascii="黑体" w:eastAsia="黑体" w:hint="eastAsia"/>
          <w:spacing w:val="-3"/>
        </w:rPr>
        <w:t>、</w:t>
      </w:r>
      <w:r>
        <w:rPr>
          <w:rFonts w:ascii="黑体" w:eastAsia="黑体" w:hint="eastAsia"/>
        </w:rPr>
        <w:t>能源</w:t>
      </w:r>
      <w:r>
        <w:rPr>
          <w:rFonts w:ascii="黑体" w:eastAsia="黑体" w:hint="eastAsia"/>
          <w:spacing w:val="-3"/>
        </w:rPr>
        <w:t>消</w:t>
      </w:r>
      <w:r>
        <w:rPr>
          <w:rFonts w:ascii="黑体" w:eastAsia="黑体" w:hint="eastAsia"/>
        </w:rPr>
        <w:t>耗</w:t>
      </w:r>
      <w:r>
        <w:rPr>
          <w:rFonts w:ascii="黑体" w:eastAsia="黑体" w:hint="eastAsia"/>
          <w:spacing w:val="-3"/>
        </w:rPr>
        <w:t>所</w:t>
      </w:r>
      <w:r>
        <w:rPr>
          <w:rFonts w:ascii="黑体" w:eastAsia="黑体" w:hint="eastAsia"/>
        </w:rPr>
        <w:t>需</w:t>
      </w:r>
      <w:r>
        <w:rPr>
          <w:rFonts w:ascii="黑体" w:eastAsia="黑体" w:hint="eastAsia"/>
          <w:spacing w:val="-3"/>
        </w:rPr>
        <w:t>清</w:t>
      </w:r>
      <w:r>
        <w:rPr>
          <w:rFonts w:ascii="黑体" w:eastAsia="黑体" w:hint="eastAsia"/>
        </w:rPr>
        <w:t>单</w:t>
      </w:r>
    </w:p>
    <w:p>
      <w:pPr>
        <w:spacing w:before="121" w:after="3"/>
        <w:ind w:left="1198" w:right="0" w:firstLine="0"/>
        <w:jc w:val="left"/>
        <w:rPr>
          <w:sz w:val="18"/>
        </w:rPr>
      </w:pPr>
      <w:r>
        <w:rPr>
          <w:sz w:val="18"/>
        </w:rPr>
        <w:t>起始时间： 年 月 日至 年 月 日 </w:t>
      </w: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7"/>
        <w:gridCol w:w="1870"/>
        <w:gridCol w:w="1870"/>
        <w:gridCol w:w="1870"/>
        <w:gridCol w:w="1868"/>
      </w:tblGrid>
      <w:tr>
        <w:trPr>
          <w:trHeight w:val="340" w:hRule="atLeast"/>
        </w:trPr>
        <w:tc>
          <w:tcPr>
            <w:tcW w:w="1867" w:type="dxa"/>
          </w:tcPr>
          <w:p>
            <w:pPr>
              <w:pStyle w:val="TableParagraph"/>
              <w:spacing w:before="55"/>
              <w:ind w:left="664"/>
              <w:rPr>
                <w:sz w:val="18"/>
              </w:rPr>
            </w:pPr>
            <w:r>
              <w:rPr>
                <w:sz w:val="18"/>
              </w:rPr>
              <w:t>种 类 </w:t>
            </w:r>
          </w:p>
        </w:tc>
        <w:tc>
          <w:tcPr>
            <w:tcW w:w="1870" w:type="dxa"/>
          </w:tcPr>
          <w:p>
            <w:pPr>
              <w:pStyle w:val="TableParagraph"/>
              <w:spacing w:before="55"/>
              <w:ind w:left="664"/>
              <w:rPr>
                <w:sz w:val="18"/>
              </w:rPr>
            </w:pPr>
            <w:r>
              <w:rPr>
                <w:sz w:val="18"/>
              </w:rPr>
              <w:t>单 位 </w:t>
            </w:r>
          </w:p>
        </w:tc>
        <w:tc>
          <w:tcPr>
            <w:tcW w:w="1870" w:type="dxa"/>
          </w:tcPr>
          <w:p>
            <w:pPr>
              <w:pStyle w:val="TableParagraph"/>
              <w:spacing w:before="55"/>
              <w:ind w:left="664"/>
              <w:rPr>
                <w:sz w:val="18"/>
              </w:rPr>
            </w:pPr>
            <w:r>
              <w:rPr>
                <w:sz w:val="18"/>
              </w:rPr>
              <w:t>用 量 </w:t>
            </w:r>
          </w:p>
        </w:tc>
        <w:tc>
          <w:tcPr>
            <w:tcW w:w="1870" w:type="dxa"/>
          </w:tcPr>
          <w:p>
            <w:pPr>
              <w:pStyle w:val="TableParagraph"/>
              <w:spacing w:before="55"/>
              <w:ind w:left="391"/>
              <w:rPr>
                <w:sz w:val="18"/>
              </w:rPr>
            </w:pPr>
            <w:r>
              <w:rPr>
                <w:sz w:val="18"/>
              </w:rPr>
              <w:t>取样程序描述 </w:t>
            </w:r>
          </w:p>
        </w:tc>
        <w:tc>
          <w:tcPr>
            <w:tcW w:w="1868" w:type="dxa"/>
          </w:tcPr>
          <w:p>
            <w:pPr>
              <w:pStyle w:val="TableParagraph"/>
              <w:spacing w:before="55"/>
              <w:ind w:left="662"/>
              <w:rPr>
                <w:sz w:val="18"/>
              </w:rPr>
            </w:pPr>
            <w:r>
              <w:rPr>
                <w:sz w:val="18"/>
              </w:rPr>
              <w:t>来 源 </w:t>
            </w:r>
          </w:p>
        </w:tc>
      </w:tr>
      <w:tr>
        <w:trPr>
          <w:trHeight w:val="340" w:hRule="atLeast"/>
        </w:trPr>
        <w:tc>
          <w:tcPr>
            <w:tcW w:w="1867"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ind w:left="26"/>
              <w:rPr>
                <w:sz w:val="18"/>
              </w:rPr>
            </w:pPr>
            <w:r>
              <w:rPr>
                <w:sz w:val="18"/>
              </w:rPr>
              <w:t> </w:t>
            </w:r>
          </w:p>
        </w:tc>
        <w:tc>
          <w:tcPr>
            <w:tcW w:w="1868" w:type="dxa"/>
          </w:tcPr>
          <w:p>
            <w:pPr>
              <w:pStyle w:val="TableParagraph"/>
              <w:spacing w:before="55"/>
              <w:ind w:left="26"/>
              <w:rPr>
                <w:sz w:val="18"/>
              </w:rPr>
            </w:pPr>
            <w:r>
              <w:rPr>
                <w:sz w:val="18"/>
              </w:rPr>
              <w:t> </w:t>
            </w:r>
          </w:p>
        </w:tc>
      </w:tr>
      <w:tr>
        <w:trPr>
          <w:trHeight w:val="340" w:hRule="atLeast"/>
        </w:trPr>
        <w:tc>
          <w:tcPr>
            <w:tcW w:w="1867"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ind w:left="26"/>
              <w:rPr>
                <w:sz w:val="18"/>
              </w:rPr>
            </w:pPr>
            <w:r>
              <w:rPr>
                <w:sz w:val="18"/>
              </w:rPr>
              <w:t> </w:t>
            </w:r>
          </w:p>
        </w:tc>
        <w:tc>
          <w:tcPr>
            <w:tcW w:w="1868" w:type="dxa"/>
          </w:tcPr>
          <w:p>
            <w:pPr>
              <w:pStyle w:val="TableParagraph"/>
              <w:ind w:left="26"/>
              <w:rPr>
                <w:sz w:val="18"/>
              </w:rPr>
            </w:pPr>
            <w:r>
              <w:rPr>
                <w:sz w:val="18"/>
              </w:rPr>
              <w:t> </w:t>
            </w:r>
          </w:p>
        </w:tc>
      </w:tr>
      <w:tr>
        <w:trPr>
          <w:trHeight w:val="340" w:hRule="atLeast"/>
        </w:trPr>
        <w:tc>
          <w:tcPr>
            <w:tcW w:w="1867"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ind w:left="26"/>
              <w:rPr>
                <w:sz w:val="18"/>
              </w:rPr>
            </w:pPr>
            <w:r>
              <w:rPr>
                <w:sz w:val="18"/>
              </w:rPr>
              <w:t> </w:t>
            </w:r>
          </w:p>
        </w:tc>
        <w:tc>
          <w:tcPr>
            <w:tcW w:w="1868" w:type="dxa"/>
          </w:tcPr>
          <w:p>
            <w:pPr>
              <w:pStyle w:val="TableParagraph"/>
              <w:ind w:left="26"/>
              <w:rPr>
                <w:sz w:val="18"/>
              </w:rPr>
            </w:pPr>
            <w:r>
              <w:rPr>
                <w:sz w:val="18"/>
              </w:rPr>
              <w:t> </w:t>
            </w:r>
          </w:p>
        </w:tc>
      </w:tr>
      <w:tr>
        <w:trPr>
          <w:trHeight w:val="340" w:hRule="atLeast"/>
        </w:trPr>
        <w:tc>
          <w:tcPr>
            <w:tcW w:w="1867"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ind w:left="26"/>
              <w:rPr>
                <w:sz w:val="18"/>
              </w:rPr>
            </w:pPr>
            <w:r>
              <w:rPr>
                <w:sz w:val="18"/>
              </w:rPr>
              <w:t> </w:t>
            </w:r>
          </w:p>
        </w:tc>
        <w:tc>
          <w:tcPr>
            <w:tcW w:w="1868" w:type="dxa"/>
          </w:tcPr>
          <w:p>
            <w:pPr>
              <w:pStyle w:val="TableParagraph"/>
              <w:ind w:left="26"/>
              <w:rPr>
                <w:sz w:val="18"/>
              </w:rPr>
            </w:pPr>
            <w:r>
              <w:rPr>
                <w:sz w:val="18"/>
              </w:rPr>
              <w:t> </w:t>
            </w:r>
          </w:p>
        </w:tc>
      </w:tr>
    </w:tbl>
    <w:p>
      <w:pPr>
        <w:spacing w:before="0"/>
        <w:ind w:left="1198" w:right="0" w:firstLine="0"/>
        <w:jc w:val="left"/>
        <w:rPr>
          <w:sz w:val="18"/>
        </w:rPr>
      </w:pPr>
      <w:r>
        <w:rPr>
          <w:sz w:val="18"/>
        </w:rPr>
        <w:t>制 表 人 ： 制 表 日 期 ： </w:t>
      </w:r>
    </w:p>
    <w:p>
      <w:pPr>
        <w:pStyle w:val="BodyText"/>
        <w:spacing w:before="12"/>
        <w:rPr>
          <w:sz w:val="18"/>
        </w:rPr>
      </w:pPr>
    </w:p>
    <w:p>
      <w:pPr>
        <w:pStyle w:val="ListParagraph"/>
        <w:numPr>
          <w:ilvl w:val="1"/>
          <w:numId w:val="20"/>
        </w:numPr>
        <w:tabs>
          <w:tab w:pos="1364" w:val="left" w:leader="none"/>
          <w:tab w:pos="1365" w:val="left" w:leader="none"/>
        </w:tabs>
        <w:spacing w:line="240" w:lineRule="auto" w:before="0" w:after="0"/>
        <w:ind w:left="1364" w:right="0" w:hanging="527"/>
        <w:jc w:val="left"/>
        <w:rPr>
          <w:rFonts w:ascii="黑体" w:eastAsia="黑体" w:hint="eastAsia"/>
          <w:sz w:val="21"/>
        </w:rPr>
      </w:pPr>
      <w:r>
        <w:rPr>
          <w:rFonts w:ascii="黑体" w:eastAsia="黑体" w:hint="eastAsia"/>
          <w:spacing w:val="-3"/>
          <w:sz w:val="21"/>
        </w:rPr>
        <w:t>包装过程所需材料清单</w:t>
      </w:r>
    </w:p>
    <w:p>
      <w:pPr>
        <w:pStyle w:val="BodyText"/>
        <w:spacing w:before="12"/>
        <w:rPr>
          <w:rFonts w:ascii="黑体"/>
          <w:sz w:val="18"/>
        </w:rPr>
      </w:pPr>
    </w:p>
    <w:p>
      <w:pPr>
        <w:pStyle w:val="BodyText"/>
        <w:ind w:left="1258"/>
      </w:pPr>
      <w:r>
        <w:rPr/>
        <w:t>包装过程所需材料清单见表 C.3。 </w:t>
      </w:r>
    </w:p>
    <w:p>
      <w:pPr>
        <w:pStyle w:val="BodyText"/>
        <w:tabs>
          <w:tab w:pos="1075" w:val="left" w:leader="none"/>
        </w:tabs>
        <w:spacing w:before="124"/>
        <w:ind w:left="285"/>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C.3</w:t>
        <w:tab/>
      </w:r>
      <w:r>
        <w:rPr>
          <w:rFonts w:ascii="黑体" w:eastAsia="黑体" w:hint="eastAsia"/>
          <w:spacing w:val="-3"/>
        </w:rPr>
        <w:t>包</w:t>
      </w:r>
      <w:r>
        <w:rPr>
          <w:rFonts w:ascii="黑体" w:eastAsia="黑体" w:hint="eastAsia"/>
        </w:rPr>
        <w:t>装</w:t>
      </w:r>
      <w:r>
        <w:rPr>
          <w:rFonts w:ascii="黑体" w:eastAsia="黑体" w:hint="eastAsia"/>
          <w:spacing w:val="-3"/>
        </w:rPr>
        <w:t>过</w:t>
      </w:r>
      <w:r>
        <w:rPr>
          <w:rFonts w:ascii="黑体" w:eastAsia="黑体" w:hint="eastAsia"/>
        </w:rPr>
        <w:t>程</w:t>
      </w:r>
      <w:r>
        <w:rPr>
          <w:rFonts w:ascii="黑体" w:eastAsia="黑体" w:hint="eastAsia"/>
          <w:spacing w:val="-3"/>
        </w:rPr>
        <w:t>所</w:t>
      </w:r>
      <w:r>
        <w:rPr>
          <w:rFonts w:ascii="黑体" w:eastAsia="黑体" w:hint="eastAsia"/>
        </w:rPr>
        <w:t>需</w:t>
      </w:r>
      <w:r>
        <w:rPr>
          <w:rFonts w:ascii="黑体" w:eastAsia="黑体" w:hint="eastAsia"/>
          <w:spacing w:val="-3"/>
        </w:rPr>
        <w:t>材</w:t>
      </w:r>
      <w:r>
        <w:rPr>
          <w:rFonts w:ascii="黑体" w:eastAsia="黑体" w:hint="eastAsia"/>
        </w:rPr>
        <w:t>料清单</w:t>
      </w:r>
    </w:p>
    <w:p>
      <w:pPr>
        <w:spacing w:before="121" w:after="5"/>
        <w:ind w:left="1198" w:right="0" w:firstLine="0"/>
        <w:jc w:val="left"/>
        <w:rPr>
          <w:sz w:val="18"/>
        </w:rPr>
      </w:pPr>
      <w:r>
        <w:rPr>
          <w:sz w:val="18"/>
        </w:rPr>
        <w:t>起始时间： 年 月 日至 年 月 日 </w:t>
      </w: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7"/>
        <w:gridCol w:w="1870"/>
        <w:gridCol w:w="1870"/>
        <w:gridCol w:w="1870"/>
        <w:gridCol w:w="1868"/>
      </w:tblGrid>
      <w:tr>
        <w:trPr>
          <w:trHeight w:val="337" w:hRule="atLeast"/>
        </w:trPr>
        <w:tc>
          <w:tcPr>
            <w:tcW w:w="1867" w:type="dxa"/>
          </w:tcPr>
          <w:p>
            <w:pPr>
              <w:pStyle w:val="TableParagraph"/>
              <w:ind w:left="664"/>
              <w:rPr>
                <w:sz w:val="18"/>
              </w:rPr>
            </w:pPr>
            <w:r>
              <w:rPr>
                <w:sz w:val="18"/>
              </w:rPr>
              <w:t>材 料 </w:t>
            </w:r>
          </w:p>
        </w:tc>
        <w:tc>
          <w:tcPr>
            <w:tcW w:w="1870" w:type="dxa"/>
          </w:tcPr>
          <w:p>
            <w:pPr>
              <w:pStyle w:val="TableParagraph"/>
              <w:ind w:left="664"/>
              <w:rPr>
                <w:sz w:val="18"/>
              </w:rPr>
            </w:pPr>
            <w:r>
              <w:rPr>
                <w:sz w:val="18"/>
              </w:rPr>
              <w:t>单 位 </w:t>
            </w:r>
          </w:p>
        </w:tc>
        <w:tc>
          <w:tcPr>
            <w:tcW w:w="1870" w:type="dxa"/>
          </w:tcPr>
          <w:p>
            <w:pPr>
              <w:pStyle w:val="TableParagraph"/>
              <w:ind w:left="259"/>
              <w:rPr>
                <w:sz w:val="18"/>
              </w:rPr>
            </w:pPr>
            <w:r>
              <w:rPr>
                <w:sz w:val="18"/>
              </w:rPr>
              <w:t>单位产品用量/kg </w:t>
            </w:r>
          </w:p>
        </w:tc>
        <w:tc>
          <w:tcPr>
            <w:tcW w:w="1870" w:type="dxa"/>
          </w:tcPr>
          <w:p>
            <w:pPr>
              <w:pStyle w:val="TableParagraph"/>
              <w:ind w:left="391"/>
              <w:rPr>
                <w:sz w:val="18"/>
              </w:rPr>
            </w:pPr>
            <w:r>
              <w:rPr>
                <w:sz w:val="18"/>
              </w:rPr>
              <w:t>取样程序描述 </w:t>
            </w:r>
          </w:p>
        </w:tc>
        <w:tc>
          <w:tcPr>
            <w:tcW w:w="1868" w:type="dxa"/>
          </w:tcPr>
          <w:p>
            <w:pPr>
              <w:pStyle w:val="TableParagraph"/>
              <w:ind w:left="662"/>
              <w:rPr>
                <w:sz w:val="18"/>
              </w:rPr>
            </w:pPr>
            <w:r>
              <w:rPr>
                <w:sz w:val="18"/>
              </w:rPr>
              <w:t>来 源 </w:t>
            </w:r>
          </w:p>
        </w:tc>
      </w:tr>
      <w:tr>
        <w:trPr>
          <w:trHeight w:val="341" w:hRule="atLeast"/>
        </w:trPr>
        <w:tc>
          <w:tcPr>
            <w:tcW w:w="1867"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ind w:left="26"/>
              <w:rPr>
                <w:sz w:val="18"/>
              </w:rPr>
            </w:pPr>
            <w:r>
              <w:rPr>
                <w:sz w:val="18"/>
              </w:rPr>
              <w:t> </w:t>
            </w:r>
          </w:p>
        </w:tc>
        <w:tc>
          <w:tcPr>
            <w:tcW w:w="1868" w:type="dxa"/>
          </w:tcPr>
          <w:p>
            <w:pPr>
              <w:pStyle w:val="TableParagraph"/>
              <w:spacing w:before="55"/>
              <w:ind w:left="26"/>
              <w:rPr>
                <w:sz w:val="18"/>
              </w:rPr>
            </w:pPr>
            <w:r>
              <w:rPr>
                <w:sz w:val="18"/>
              </w:rPr>
              <w:t> </w:t>
            </w:r>
          </w:p>
        </w:tc>
      </w:tr>
      <w:tr>
        <w:trPr>
          <w:trHeight w:val="340" w:hRule="atLeast"/>
        </w:trPr>
        <w:tc>
          <w:tcPr>
            <w:tcW w:w="1867"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ind w:left="26"/>
              <w:rPr>
                <w:sz w:val="18"/>
              </w:rPr>
            </w:pPr>
            <w:r>
              <w:rPr>
                <w:sz w:val="18"/>
              </w:rPr>
              <w:t> </w:t>
            </w:r>
          </w:p>
        </w:tc>
        <w:tc>
          <w:tcPr>
            <w:tcW w:w="1868" w:type="dxa"/>
          </w:tcPr>
          <w:p>
            <w:pPr>
              <w:pStyle w:val="TableParagraph"/>
              <w:spacing w:before="55"/>
              <w:ind w:left="26"/>
              <w:rPr>
                <w:sz w:val="18"/>
              </w:rPr>
            </w:pPr>
            <w:r>
              <w:rPr>
                <w:sz w:val="18"/>
              </w:rPr>
              <w:t> </w:t>
            </w:r>
          </w:p>
        </w:tc>
      </w:tr>
      <w:tr>
        <w:trPr>
          <w:trHeight w:val="340" w:hRule="atLeast"/>
        </w:trPr>
        <w:tc>
          <w:tcPr>
            <w:tcW w:w="1867"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rPr>
                <w:sz w:val="18"/>
              </w:rPr>
            </w:pPr>
            <w:r>
              <w:rPr>
                <w:sz w:val="18"/>
              </w:rPr>
              <w:t> </w:t>
            </w:r>
          </w:p>
        </w:tc>
        <w:tc>
          <w:tcPr>
            <w:tcW w:w="1870" w:type="dxa"/>
          </w:tcPr>
          <w:p>
            <w:pPr>
              <w:pStyle w:val="TableParagraph"/>
              <w:spacing w:before="55"/>
              <w:ind w:left="26"/>
              <w:rPr>
                <w:sz w:val="18"/>
              </w:rPr>
            </w:pPr>
            <w:r>
              <w:rPr>
                <w:sz w:val="18"/>
              </w:rPr>
              <w:t> </w:t>
            </w:r>
          </w:p>
        </w:tc>
        <w:tc>
          <w:tcPr>
            <w:tcW w:w="1868" w:type="dxa"/>
          </w:tcPr>
          <w:p>
            <w:pPr>
              <w:pStyle w:val="TableParagraph"/>
              <w:spacing w:before="55"/>
              <w:ind w:left="26"/>
              <w:rPr>
                <w:sz w:val="18"/>
              </w:rPr>
            </w:pPr>
            <w:r>
              <w:rPr>
                <w:sz w:val="18"/>
              </w:rPr>
              <w:t> </w:t>
            </w:r>
          </w:p>
        </w:tc>
      </w:tr>
      <w:tr>
        <w:trPr>
          <w:trHeight w:val="340" w:hRule="atLeast"/>
        </w:trPr>
        <w:tc>
          <w:tcPr>
            <w:tcW w:w="1867"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rPr>
                <w:sz w:val="18"/>
              </w:rPr>
            </w:pPr>
            <w:r>
              <w:rPr>
                <w:sz w:val="18"/>
              </w:rPr>
              <w:t> </w:t>
            </w:r>
          </w:p>
        </w:tc>
        <w:tc>
          <w:tcPr>
            <w:tcW w:w="1870" w:type="dxa"/>
          </w:tcPr>
          <w:p>
            <w:pPr>
              <w:pStyle w:val="TableParagraph"/>
              <w:ind w:left="26"/>
              <w:rPr>
                <w:sz w:val="18"/>
              </w:rPr>
            </w:pPr>
            <w:r>
              <w:rPr>
                <w:sz w:val="18"/>
              </w:rPr>
              <w:t> </w:t>
            </w:r>
          </w:p>
        </w:tc>
        <w:tc>
          <w:tcPr>
            <w:tcW w:w="1868" w:type="dxa"/>
          </w:tcPr>
          <w:p>
            <w:pPr>
              <w:pStyle w:val="TableParagraph"/>
              <w:ind w:left="26"/>
              <w:rPr>
                <w:sz w:val="18"/>
              </w:rPr>
            </w:pPr>
            <w:r>
              <w:rPr>
                <w:sz w:val="18"/>
              </w:rPr>
              <w:t> </w:t>
            </w:r>
          </w:p>
        </w:tc>
      </w:tr>
    </w:tbl>
    <w:p>
      <w:pPr>
        <w:spacing w:before="0"/>
        <w:ind w:left="1198" w:right="0" w:firstLine="0"/>
        <w:jc w:val="left"/>
        <w:rPr>
          <w:sz w:val="18"/>
        </w:rPr>
      </w:pPr>
      <w:r>
        <w:rPr>
          <w:sz w:val="18"/>
        </w:rPr>
        <w:t>制 表 人 ： 制 表 日 期 ： </w:t>
      </w:r>
    </w:p>
    <w:p>
      <w:pPr>
        <w:pStyle w:val="BodyText"/>
        <w:spacing w:before="3"/>
        <w:ind w:left="1258"/>
      </w:pPr>
      <w:r>
        <w:rPr>
          <w:w w:val="100"/>
        </w:rPr>
        <w:t> </w:t>
      </w:r>
    </w:p>
    <w:p>
      <w:pPr>
        <w:pStyle w:val="BodyText"/>
        <w:spacing w:before="5"/>
        <w:ind w:left="1258"/>
      </w:pPr>
      <w:r>
        <w:rPr>
          <w:w w:val="100"/>
        </w:rPr>
        <w:t> </w:t>
      </w:r>
    </w:p>
    <w:p>
      <w:pPr>
        <w:spacing w:after="0"/>
        <w:sectPr>
          <w:pgSz w:w="11910" w:h="16840"/>
          <w:pgMar w:header="1138" w:footer="1141" w:top="1320" w:bottom="1340" w:left="580" w:right="580"/>
        </w:sectPr>
      </w:pPr>
    </w:p>
    <w:p>
      <w:pPr>
        <w:pStyle w:val="BodyText"/>
        <w:spacing w:before="11"/>
        <w:rPr>
          <w:sz w:val="22"/>
        </w:rPr>
      </w:pPr>
    </w:p>
    <w:p>
      <w:pPr>
        <w:pStyle w:val="ListParagraph"/>
        <w:numPr>
          <w:ilvl w:val="1"/>
          <w:numId w:val="20"/>
        </w:numPr>
        <w:tabs>
          <w:tab w:pos="1078" w:val="left" w:leader="none"/>
          <w:tab w:pos="1079" w:val="left" w:leader="none"/>
        </w:tabs>
        <w:spacing w:line="240" w:lineRule="auto" w:before="72" w:after="0"/>
        <w:ind w:left="1078" w:right="0" w:hanging="527"/>
        <w:jc w:val="left"/>
        <w:rPr>
          <w:rFonts w:ascii="黑体" w:eastAsia="黑体" w:hint="eastAsia"/>
          <w:sz w:val="21"/>
        </w:rPr>
      </w:pPr>
      <w:r>
        <w:rPr>
          <w:rFonts w:ascii="黑体" w:eastAsia="黑体" w:hint="eastAsia"/>
          <w:spacing w:val="-3"/>
          <w:sz w:val="21"/>
        </w:rPr>
        <w:t>生产过程中废物排放清单</w:t>
      </w:r>
    </w:p>
    <w:p>
      <w:pPr>
        <w:pStyle w:val="BodyText"/>
        <w:spacing w:before="11"/>
        <w:rPr>
          <w:rFonts w:ascii="黑体"/>
          <w:sz w:val="18"/>
        </w:rPr>
      </w:pPr>
    </w:p>
    <w:p>
      <w:pPr>
        <w:pStyle w:val="BodyText"/>
        <w:ind w:left="973"/>
      </w:pPr>
      <w:r>
        <w:rPr/>
        <w:t>生产过程中废物排放清单见表 C.4。 </w:t>
      </w:r>
    </w:p>
    <w:p>
      <w:pPr>
        <w:pStyle w:val="BodyText"/>
        <w:tabs>
          <w:tab w:pos="789" w:val="left" w:leader="none"/>
        </w:tabs>
        <w:spacing w:before="125"/>
        <w:ind w:right="283"/>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C.4</w:t>
        <w:tab/>
      </w:r>
      <w:r>
        <w:rPr>
          <w:rFonts w:ascii="黑体" w:eastAsia="黑体" w:hint="eastAsia"/>
          <w:spacing w:val="-3"/>
        </w:rPr>
        <w:t>生</w:t>
      </w:r>
      <w:r>
        <w:rPr>
          <w:rFonts w:ascii="黑体" w:eastAsia="黑体" w:hint="eastAsia"/>
        </w:rPr>
        <w:t>产</w:t>
      </w:r>
      <w:r>
        <w:rPr>
          <w:rFonts w:ascii="黑体" w:eastAsia="黑体" w:hint="eastAsia"/>
          <w:spacing w:val="-3"/>
        </w:rPr>
        <w:t>过</w:t>
      </w:r>
      <w:r>
        <w:rPr>
          <w:rFonts w:ascii="黑体" w:eastAsia="黑体" w:hint="eastAsia"/>
        </w:rPr>
        <w:t>程</w:t>
      </w:r>
      <w:r>
        <w:rPr>
          <w:rFonts w:ascii="黑体" w:eastAsia="黑体" w:hint="eastAsia"/>
          <w:spacing w:val="-3"/>
        </w:rPr>
        <w:t>中</w:t>
      </w:r>
      <w:r>
        <w:rPr>
          <w:rFonts w:ascii="黑体" w:eastAsia="黑体" w:hint="eastAsia"/>
        </w:rPr>
        <w:t>废</w:t>
      </w:r>
      <w:r>
        <w:rPr>
          <w:rFonts w:ascii="黑体" w:eastAsia="黑体" w:hint="eastAsia"/>
          <w:spacing w:val="-3"/>
        </w:rPr>
        <w:t>物</w:t>
      </w:r>
      <w:r>
        <w:rPr>
          <w:rFonts w:ascii="黑体" w:eastAsia="黑体" w:hint="eastAsia"/>
        </w:rPr>
        <w:t>排放</w:t>
      </w:r>
      <w:r>
        <w:rPr>
          <w:rFonts w:ascii="黑体" w:eastAsia="黑体" w:hint="eastAsia"/>
          <w:spacing w:val="-3"/>
        </w:rPr>
        <w:t>清单</w:t>
      </w:r>
    </w:p>
    <w:p>
      <w:pPr>
        <w:spacing w:before="121" w:after="2"/>
        <w:ind w:left="913" w:right="0" w:firstLine="0"/>
        <w:jc w:val="left"/>
        <w:rPr>
          <w:sz w:val="18"/>
        </w:rPr>
      </w:pPr>
      <w:r>
        <w:rPr>
          <w:sz w:val="18"/>
        </w:rPr>
        <w:t>起始时间： 年 月 日至 年 月 日 </w:t>
      </w: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1558"/>
        <w:gridCol w:w="1555"/>
        <w:gridCol w:w="1558"/>
        <w:gridCol w:w="1558"/>
        <w:gridCol w:w="1559"/>
      </w:tblGrid>
      <w:tr>
        <w:trPr>
          <w:trHeight w:val="340" w:hRule="atLeast"/>
        </w:trPr>
        <w:tc>
          <w:tcPr>
            <w:tcW w:w="1558" w:type="dxa"/>
          </w:tcPr>
          <w:p>
            <w:pPr>
              <w:pStyle w:val="TableParagraph"/>
              <w:spacing w:before="55"/>
              <w:ind w:left="509"/>
              <w:rPr>
                <w:sz w:val="18"/>
              </w:rPr>
            </w:pPr>
            <w:r>
              <w:rPr>
                <w:sz w:val="18"/>
              </w:rPr>
              <w:t>项 目 </w:t>
            </w:r>
          </w:p>
        </w:tc>
        <w:tc>
          <w:tcPr>
            <w:tcW w:w="1558" w:type="dxa"/>
          </w:tcPr>
          <w:p>
            <w:pPr>
              <w:pStyle w:val="TableParagraph"/>
              <w:spacing w:before="55"/>
              <w:ind w:left="508"/>
              <w:rPr>
                <w:sz w:val="18"/>
              </w:rPr>
            </w:pPr>
            <w:r>
              <w:rPr>
                <w:sz w:val="18"/>
              </w:rPr>
              <w:t>单 位 </w:t>
            </w:r>
          </w:p>
        </w:tc>
        <w:tc>
          <w:tcPr>
            <w:tcW w:w="1555" w:type="dxa"/>
          </w:tcPr>
          <w:p>
            <w:pPr>
              <w:pStyle w:val="TableParagraph"/>
              <w:spacing w:before="55"/>
              <w:ind w:left="508"/>
              <w:rPr>
                <w:sz w:val="18"/>
              </w:rPr>
            </w:pPr>
            <w:r>
              <w:rPr>
                <w:sz w:val="18"/>
              </w:rPr>
              <w:t>排放量 </w:t>
            </w:r>
          </w:p>
        </w:tc>
        <w:tc>
          <w:tcPr>
            <w:tcW w:w="1558" w:type="dxa"/>
          </w:tcPr>
          <w:p>
            <w:pPr>
              <w:pStyle w:val="TableParagraph"/>
              <w:spacing w:before="55"/>
              <w:ind w:left="417"/>
              <w:rPr>
                <w:sz w:val="18"/>
              </w:rPr>
            </w:pPr>
            <w:r>
              <w:rPr>
                <w:sz w:val="18"/>
              </w:rPr>
              <w:t>处置方式 </w:t>
            </w:r>
          </w:p>
        </w:tc>
        <w:tc>
          <w:tcPr>
            <w:tcW w:w="1558" w:type="dxa"/>
          </w:tcPr>
          <w:p>
            <w:pPr>
              <w:pStyle w:val="TableParagraph"/>
              <w:spacing w:before="55"/>
              <w:ind w:left="240"/>
              <w:rPr>
                <w:sz w:val="18"/>
              </w:rPr>
            </w:pPr>
            <w:r>
              <w:rPr>
                <w:sz w:val="18"/>
              </w:rPr>
              <w:t>取样程序描述 </w:t>
            </w:r>
          </w:p>
        </w:tc>
        <w:tc>
          <w:tcPr>
            <w:tcW w:w="1559" w:type="dxa"/>
          </w:tcPr>
          <w:p>
            <w:pPr>
              <w:pStyle w:val="TableParagraph"/>
              <w:spacing w:before="55"/>
              <w:ind w:left="509"/>
              <w:rPr>
                <w:sz w:val="18"/>
              </w:rPr>
            </w:pPr>
            <w:r>
              <w:rPr>
                <w:sz w:val="18"/>
              </w:rPr>
              <w:t>来 源 </w:t>
            </w:r>
          </w:p>
        </w:tc>
      </w:tr>
      <w:tr>
        <w:trPr>
          <w:trHeight w:val="340" w:hRule="atLeast"/>
        </w:trPr>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5"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9" w:type="dxa"/>
          </w:tcPr>
          <w:p>
            <w:pPr>
              <w:pStyle w:val="TableParagraph"/>
              <w:spacing w:before="55"/>
              <w:rPr>
                <w:sz w:val="18"/>
              </w:rPr>
            </w:pPr>
            <w:r>
              <w:rPr>
                <w:sz w:val="18"/>
              </w:rPr>
              <w:t> </w:t>
            </w:r>
          </w:p>
        </w:tc>
      </w:tr>
      <w:tr>
        <w:trPr>
          <w:trHeight w:val="340" w:hRule="atLeast"/>
        </w:trPr>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5" w:type="dxa"/>
          </w:tcPr>
          <w:p>
            <w:pPr>
              <w:pStyle w:val="TableParagraph"/>
              <w:rPr>
                <w:sz w:val="18"/>
              </w:rPr>
            </w:pPr>
            <w:r>
              <w:rPr>
                <w:sz w:val="18"/>
              </w:rPr>
              <w:t> </w:t>
            </w:r>
          </w:p>
        </w:tc>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9" w:type="dxa"/>
          </w:tcPr>
          <w:p>
            <w:pPr>
              <w:pStyle w:val="TableParagraph"/>
              <w:rPr>
                <w:sz w:val="18"/>
              </w:rPr>
            </w:pPr>
            <w:r>
              <w:rPr>
                <w:sz w:val="18"/>
              </w:rPr>
              <w:t> </w:t>
            </w:r>
          </w:p>
        </w:tc>
      </w:tr>
      <w:tr>
        <w:trPr>
          <w:trHeight w:val="340" w:hRule="atLeast"/>
        </w:trPr>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5" w:type="dxa"/>
          </w:tcPr>
          <w:p>
            <w:pPr>
              <w:pStyle w:val="TableParagraph"/>
              <w:rPr>
                <w:sz w:val="18"/>
              </w:rPr>
            </w:pPr>
            <w:r>
              <w:rPr>
                <w:sz w:val="18"/>
              </w:rPr>
              <w:t> </w:t>
            </w:r>
          </w:p>
        </w:tc>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9" w:type="dxa"/>
          </w:tcPr>
          <w:p>
            <w:pPr>
              <w:pStyle w:val="TableParagraph"/>
              <w:rPr>
                <w:sz w:val="18"/>
              </w:rPr>
            </w:pPr>
            <w:r>
              <w:rPr>
                <w:sz w:val="18"/>
              </w:rPr>
              <w:t> </w:t>
            </w:r>
          </w:p>
        </w:tc>
      </w:tr>
      <w:tr>
        <w:trPr>
          <w:trHeight w:val="340" w:hRule="atLeast"/>
        </w:trPr>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5" w:type="dxa"/>
          </w:tcPr>
          <w:p>
            <w:pPr>
              <w:pStyle w:val="TableParagraph"/>
              <w:rPr>
                <w:sz w:val="18"/>
              </w:rPr>
            </w:pPr>
            <w:r>
              <w:rPr>
                <w:sz w:val="18"/>
              </w:rPr>
              <w:t> </w:t>
            </w:r>
          </w:p>
        </w:tc>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9" w:type="dxa"/>
          </w:tcPr>
          <w:p>
            <w:pPr>
              <w:pStyle w:val="TableParagraph"/>
              <w:rPr>
                <w:sz w:val="18"/>
              </w:rPr>
            </w:pPr>
            <w:r>
              <w:rPr>
                <w:sz w:val="18"/>
              </w:rPr>
              <w:t> </w:t>
            </w:r>
          </w:p>
        </w:tc>
      </w:tr>
    </w:tbl>
    <w:p>
      <w:pPr>
        <w:spacing w:before="0"/>
        <w:ind w:left="913" w:right="0" w:firstLine="0"/>
        <w:jc w:val="left"/>
        <w:rPr>
          <w:sz w:val="18"/>
        </w:rPr>
      </w:pPr>
      <w:r>
        <w:rPr>
          <w:sz w:val="18"/>
        </w:rPr>
        <w:t>制 表 人 ： 制 表 日 期 ： </w:t>
      </w:r>
    </w:p>
    <w:p>
      <w:pPr>
        <w:pStyle w:val="BodyText"/>
        <w:rPr>
          <w:sz w:val="19"/>
        </w:rPr>
      </w:pPr>
    </w:p>
    <w:p>
      <w:pPr>
        <w:pStyle w:val="ListParagraph"/>
        <w:numPr>
          <w:ilvl w:val="1"/>
          <w:numId w:val="20"/>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产品运输过程所需清单</w:t>
      </w:r>
    </w:p>
    <w:p>
      <w:pPr>
        <w:pStyle w:val="BodyText"/>
        <w:spacing w:before="1"/>
        <w:rPr>
          <w:rFonts w:ascii="黑体"/>
          <w:sz w:val="19"/>
        </w:rPr>
      </w:pPr>
    </w:p>
    <w:p>
      <w:pPr>
        <w:pStyle w:val="BodyText"/>
        <w:ind w:left="973"/>
      </w:pPr>
      <w:r>
        <w:rPr/>
        <w:t>产品运输过程所需清单见表 C.5。 </w:t>
      </w:r>
    </w:p>
    <w:p>
      <w:pPr>
        <w:pStyle w:val="BodyText"/>
        <w:tabs>
          <w:tab w:pos="789" w:val="left" w:leader="none"/>
        </w:tabs>
        <w:spacing w:before="122"/>
        <w:ind w:right="283"/>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C.5</w:t>
        <w:tab/>
      </w:r>
      <w:r>
        <w:rPr>
          <w:rFonts w:ascii="黑体" w:eastAsia="黑体" w:hint="eastAsia"/>
          <w:spacing w:val="-3"/>
        </w:rPr>
        <w:t>产</w:t>
      </w:r>
      <w:r>
        <w:rPr>
          <w:rFonts w:ascii="黑体" w:eastAsia="黑体" w:hint="eastAsia"/>
        </w:rPr>
        <w:t>品</w:t>
      </w:r>
      <w:r>
        <w:rPr>
          <w:rFonts w:ascii="黑体" w:eastAsia="黑体" w:hint="eastAsia"/>
          <w:spacing w:val="-3"/>
        </w:rPr>
        <w:t>运</w:t>
      </w:r>
      <w:r>
        <w:rPr>
          <w:rFonts w:ascii="黑体" w:eastAsia="黑体" w:hint="eastAsia"/>
        </w:rPr>
        <w:t>输</w:t>
      </w:r>
      <w:r>
        <w:rPr>
          <w:rFonts w:ascii="黑体" w:eastAsia="黑体" w:hint="eastAsia"/>
          <w:spacing w:val="-3"/>
        </w:rPr>
        <w:t>过</w:t>
      </w:r>
      <w:r>
        <w:rPr>
          <w:rFonts w:ascii="黑体" w:eastAsia="黑体" w:hint="eastAsia"/>
        </w:rPr>
        <w:t>程</w:t>
      </w:r>
      <w:r>
        <w:rPr>
          <w:rFonts w:ascii="黑体" w:eastAsia="黑体" w:hint="eastAsia"/>
          <w:spacing w:val="-3"/>
        </w:rPr>
        <w:t>所</w:t>
      </w:r>
      <w:r>
        <w:rPr>
          <w:rFonts w:ascii="黑体" w:eastAsia="黑体" w:hint="eastAsia"/>
        </w:rPr>
        <w:t>需清单</w:t>
      </w:r>
    </w:p>
    <w:p>
      <w:pPr>
        <w:spacing w:before="121" w:after="5"/>
        <w:ind w:left="913" w:right="0" w:firstLine="0"/>
        <w:jc w:val="left"/>
        <w:rPr>
          <w:sz w:val="18"/>
        </w:rPr>
      </w:pPr>
      <w:r>
        <w:rPr>
          <w:sz w:val="18"/>
        </w:rPr>
        <w:t>起始时间： 年 月 日至 年 月 日 </w:t>
      </w: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3119"/>
        <w:gridCol w:w="1561"/>
        <w:gridCol w:w="1561"/>
        <w:gridCol w:w="1552"/>
      </w:tblGrid>
      <w:tr>
        <w:trPr>
          <w:trHeight w:val="633" w:hRule="atLeast"/>
        </w:trPr>
        <w:tc>
          <w:tcPr>
            <w:tcW w:w="1556" w:type="dxa"/>
          </w:tcPr>
          <w:p>
            <w:pPr>
              <w:pStyle w:val="TableParagraph"/>
              <w:spacing w:before="9"/>
              <w:ind w:left="0"/>
              <w:rPr>
                <w:sz w:val="15"/>
              </w:rPr>
            </w:pPr>
          </w:p>
          <w:p>
            <w:pPr>
              <w:pStyle w:val="TableParagraph"/>
              <w:spacing w:before="0"/>
              <w:ind w:left="509"/>
              <w:rPr>
                <w:sz w:val="18"/>
              </w:rPr>
            </w:pPr>
            <w:r>
              <w:rPr>
                <w:sz w:val="18"/>
              </w:rPr>
              <w:t>过 程 </w:t>
            </w:r>
          </w:p>
        </w:tc>
        <w:tc>
          <w:tcPr>
            <w:tcW w:w="3119" w:type="dxa"/>
          </w:tcPr>
          <w:p>
            <w:pPr>
              <w:pStyle w:val="TableParagraph"/>
              <w:spacing w:before="12"/>
              <w:ind w:left="137" w:right="51"/>
              <w:jc w:val="center"/>
              <w:rPr>
                <w:sz w:val="18"/>
              </w:rPr>
            </w:pPr>
            <w:r>
              <w:rPr>
                <w:sz w:val="18"/>
              </w:rPr>
              <w:t>运输方式（货车、火车、飞机、轮船 </w:t>
            </w:r>
          </w:p>
          <w:p>
            <w:pPr>
              <w:pStyle w:val="TableParagraph"/>
              <w:spacing w:before="86"/>
              <w:ind w:left="137" w:right="51"/>
              <w:jc w:val="center"/>
              <w:rPr>
                <w:sz w:val="18"/>
              </w:rPr>
            </w:pPr>
            <w:r>
              <w:rPr>
                <w:sz w:val="18"/>
              </w:rPr>
              <w:t>或其他方式） </w:t>
            </w:r>
          </w:p>
        </w:tc>
        <w:tc>
          <w:tcPr>
            <w:tcW w:w="1561" w:type="dxa"/>
          </w:tcPr>
          <w:p>
            <w:pPr>
              <w:pStyle w:val="TableParagraph"/>
              <w:spacing w:before="9"/>
              <w:ind w:left="0"/>
              <w:rPr>
                <w:sz w:val="15"/>
              </w:rPr>
            </w:pPr>
          </w:p>
          <w:p>
            <w:pPr>
              <w:pStyle w:val="TableParagraph"/>
              <w:spacing w:before="0"/>
              <w:ind w:left="281"/>
              <w:rPr>
                <w:sz w:val="18"/>
              </w:rPr>
            </w:pPr>
            <w:r>
              <w:rPr>
                <w:sz w:val="18"/>
              </w:rPr>
              <w:t>运输距离/km </w:t>
            </w:r>
          </w:p>
        </w:tc>
        <w:tc>
          <w:tcPr>
            <w:tcW w:w="1561" w:type="dxa"/>
          </w:tcPr>
          <w:p>
            <w:pPr>
              <w:pStyle w:val="TableParagraph"/>
              <w:spacing w:before="9"/>
              <w:ind w:left="0"/>
              <w:rPr>
                <w:sz w:val="15"/>
              </w:rPr>
            </w:pPr>
          </w:p>
          <w:p>
            <w:pPr>
              <w:pStyle w:val="TableParagraph"/>
              <w:spacing w:before="0"/>
              <w:ind w:left="237"/>
              <w:rPr>
                <w:sz w:val="18"/>
              </w:rPr>
            </w:pPr>
            <w:r>
              <w:rPr>
                <w:sz w:val="18"/>
              </w:rPr>
              <w:t>取样程序描述 </w:t>
            </w:r>
          </w:p>
        </w:tc>
        <w:tc>
          <w:tcPr>
            <w:tcW w:w="1552" w:type="dxa"/>
          </w:tcPr>
          <w:p>
            <w:pPr>
              <w:pStyle w:val="TableParagraph"/>
              <w:spacing w:before="9"/>
              <w:ind w:left="0"/>
              <w:rPr>
                <w:sz w:val="15"/>
              </w:rPr>
            </w:pPr>
          </w:p>
          <w:p>
            <w:pPr>
              <w:pStyle w:val="TableParagraph"/>
              <w:spacing w:before="0"/>
              <w:ind w:left="503"/>
              <w:rPr>
                <w:sz w:val="18"/>
              </w:rPr>
            </w:pPr>
            <w:r>
              <w:rPr>
                <w:sz w:val="18"/>
              </w:rPr>
              <w:t>来 源 </w:t>
            </w:r>
          </w:p>
        </w:tc>
      </w:tr>
      <w:tr>
        <w:trPr>
          <w:trHeight w:val="340" w:hRule="atLeast"/>
        </w:trPr>
        <w:tc>
          <w:tcPr>
            <w:tcW w:w="1556" w:type="dxa"/>
          </w:tcPr>
          <w:p>
            <w:pPr>
              <w:pStyle w:val="TableParagraph"/>
              <w:spacing w:before="55"/>
              <w:rPr>
                <w:sz w:val="18"/>
              </w:rPr>
            </w:pPr>
            <w:r>
              <w:rPr>
                <w:sz w:val="18"/>
              </w:rPr>
              <w:t> </w:t>
            </w:r>
          </w:p>
        </w:tc>
        <w:tc>
          <w:tcPr>
            <w:tcW w:w="3119" w:type="dxa"/>
          </w:tcPr>
          <w:p>
            <w:pPr>
              <w:pStyle w:val="TableParagraph"/>
              <w:spacing w:before="55"/>
              <w:rPr>
                <w:sz w:val="18"/>
              </w:rPr>
            </w:pPr>
            <w:r>
              <w:rPr>
                <w:sz w:val="18"/>
              </w:rPr>
              <w:t> </w:t>
            </w:r>
          </w:p>
        </w:tc>
        <w:tc>
          <w:tcPr>
            <w:tcW w:w="1561" w:type="dxa"/>
          </w:tcPr>
          <w:p>
            <w:pPr>
              <w:pStyle w:val="TableParagraph"/>
              <w:spacing w:before="55"/>
              <w:ind w:left="27"/>
              <w:rPr>
                <w:sz w:val="18"/>
              </w:rPr>
            </w:pPr>
            <w:r>
              <w:rPr>
                <w:sz w:val="18"/>
              </w:rPr>
              <w:t> </w:t>
            </w:r>
          </w:p>
        </w:tc>
        <w:tc>
          <w:tcPr>
            <w:tcW w:w="1561" w:type="dxa"/>
          </w:tcPr>
          <w:p>
            <w:pPr>
              <w:pStyle w:val="TableParagraph"/>
              <w:spacing w:before="55"/>
              <w:ind w:left="26"/>
              <w:rPr>
                <w:sz w:val="18"/>
              </w:rPr>
            </w:pPr>
            <w:r>
              <w:rPr>
                <w:sz w:val="18"/>
              </w:rPr>
              <w:t> </w:t>
            </w:r>
          </w:p>
        </w:tc>
        <w:tc>
          <w:tcPr>
            <w:tcW w:w="1552" w:type="dxa"/>
          </w:tcPr>
          <w:p>
            <w:pPr>
              <w:pStyle w:val="TableParagraph"/>
              <w:spacing w:before="55"/>
              <w:ind w:left="25"/>
              <w:rPr>
                <w:sz w:val="18"/>
              </w:rPr>
            </w:pPr>
            <w:r>
              <w:rPr>
                <w:sz w:val="18"/>
              </w:rPr>
              <w:t> </w:t>
            </w:r>
          </w:p>
        </w:tc>
      </w:tr>
      <w:tr>
        <w:trPr>
          <w:trHeight w:val="340" w:hRule="atLeast"/>
        </w:trPr>
        <w:tc>
          <w:tcPr>
            <w:tcW w:w="1556" w:type="dxa"/>
          </w:tcPr>
          <w:p>
            <w:pPr>
              <w:pStyle w:val="TableParagraph"/>
              <w:spacing w:before="55"/>
              <w:rPr>
                <w:sz w:val="18"/>
              </w:rPr>
            </w:pPr>
            <w:r>
              <w:rPr>
                <w:sz w:val="18"/>
              </w:rPr>
              <w:t> </w:t>
            </w:r>
          </w:p>
        </w:tc>
        <w:tc>
          <w:tcPr>
            <w:tcW w:w="3119" w:type="dxa"/>
          </w:tcPr>
          <w:p>
            <w:pPr>
              <w:pStyle w:val="TableParagraph"/>
              <w:spacing w:before="55"/>
              <w:rPr>
                <w:sz w:val="18"/>
              </w:rPr>
            </w:pPr>
            <w:r>
              <w:rPr>
                <w:sz w:val="18"/>
              </w:rPr>
              <w:t> </w:t>
            </w:r>
          </w:p>
        </w:tc>
        <w:tc>
          <w:tcPr>
            <w:tcW w:w="1561" w:type="dxa"/>
          </w:tcPr>
          <w:p>
            <w:pPr>
              <w:pStyle w:val="TableParagraph"/>
              <w:spacing w:before="55"/>
              <w:ind w:left="27"/>
              <w:rPr>
                <w:sz w:val="18"/>
              </w:rPr>
            </w:pPr>
            <w:r>
              <w:rPr>
                <w:sz w:val="18"/>
              </w:rPr>
              <w:t> </w:t>
            </w:r>
          </w:p>
        </w:tc>
        <w:tc>
          <w:tcPr>
            <w:tcW w:w="1561" w:type="dxa"/>
          </w:tcPr>
          <w:p>
            <w:pPr>
              <w:pStyle w:val="TableParagraph"/>
              <w:spacing w:before="55"/>
              <w:ind w:left="26"/>
              <w:rPr>
                <w:sz w:val="18"/>
              </w:rPr>
            </w:pPr>
            <w:r>
              <w:rPr>
                <w:sz w:val="18"/>
              </w:rPr>
              <w:t> </w:t>
            </w:r>
          </w:p>
        </w:tc>
        <w:tc>
          <w:tcPr>
            <w:tcW w:w="1552" w:type="dxa"/>
          </w:tcPr>
          <w:p>
            <w:pPr>
              <w:pStyle w:val="TableParagraph"/>
              <w:spacing w:before="55"/>
              <w:ind w:left="25"/>
              <w:rPr>
                <w:sz w:val="18"/>
              </w:rPr>
            </w:pPr>
            <w:r>
              <w:rPr>
                <w:sz w:val="18"/>
              </w:rPr>
              <w:t> </w:t>
            </w:r>
          </w:p>
        </w:tc>
      </w:tr>
      <w:tr>
        <w:trPr>
          <w:trHeight w:val="340" w:hRule="atLeast"/>
        </w:trPr>
        <w:tc>
          <w:tcPr>
            <w:tcW w:w="1556" w:type="dxa"/>
          </w:tcPr>
          <w:p>
            <w:pPr>
              <w:pStyle w:val="TableParagraph"/>
              <w:rPr>
                <w:sz w:val="18"/>
              </w:rPr>
            </w:pPr>
            <w:r>
              <w:rPr>
                <w:sz w:val="18"/>
              </w:rPr>
              <w:t> </w:t>
            </w:r>
          </w:p>
        </w:tc>
        <w:tc>
          <w:tcPr>
            <w:tcW w:w="3119" w:type="dxa"/>
          </w:tcPr>
          <w:p>
            <w:pPr>
              <w:pStyle w:val="TableParagraph"/>
              <w:rPr>
                <w:sz w:val="18"/>
              </w:rPr>
            </w:pPr>
            <w:r>
              <w:rPr>
                <w:sz w:val="18"/>
              </w:rPr>
              <w:t> </w:t>
            </w:r>
          </w:p>
        </w:tc>
        <w:tc>
          <w:tcPr>
            <w:tcW w:w="1561" w:type="dxa"/>
          </w:tcPr>
          <w:p>
            <w:pPr>
              <w:pStyle w:val="TableParagraph"/>
              <w:ind w:left="27"/>
              <w:rPr>
                <w:sz w:val="18"/>
              </w:rPr>
            </w:pPr>
            <w:r>
              <w:rPr>
                <w:sz w:val="18"/>
              </w:rPr>
              <w:t> </w:t>
            </w:r>
          </w:p>
        </w:tc>
        <w:tc>
          <w:tcPr>
            <w:tcW w:w="1561" w:type="dxa"/>
          </w:tcPr>
          <w:p>
            <w:pPr>
              <w:pStyle w:val="TableParagraph"/>
              <w:ind w:left="26"/>
              <w:rPr>
                <w:sz w:val="18"/>
              </w:rPr>
            </w:pPr>
            <w:r>
              <w:rPr>
                <w:sz w:val="18"/>
              </w:rPr>
              <w:t> </w:t>
            </w:r>
          </w:p>
        </w:tc>
        <w:tc>
          <w:tcPr>
            <w:tcW w:w="1552" w:type="dxa"/>
          </w:tcPr>
          <w:p>
            <w:pPr>
              <w:pStyle w:val="TableParagraph"/>
              <w:ind w:left="25"/>
              <w:rPr>
                <w:sz w:val="18"/>
              </w:rPr>
            </w:pPr>
            <w:r>
              <w:rPr>
                <w:sz w:val="18"/>
              </w:rPr>
              <w:t> </w:t>
            </w:r>
          </w:p>
        </w:tc>
      </w:tr>
      <w:tr>
        <w:trPr>
          <w:trHeight w:val="340" w:hRule="atLeast"/>
        </w:trPr>
        <w:tc>
          <w:tcPr>
            <w:tcW w:w="1556" w:type="dxa"/>
          </w:tcPr>
          <w:p>
            <w:pPr>
              <w:pStyle w:val="TableParagraph"/>
              <w:rPr>
                <w:sz w:val="18"/>
              </w:rPr>
            </w:pPr>
            <w:r>
              <w:rPr>
                <w:sz w:val="18"/>
              </w:rPr>
              <w:t> </w:t>
            </w:r>
          </w:p>
        </w:tc>
        <w:tc>
          <w:tcPr>
            <w:tcW w:w="3119" w:type="dxa"/>
          </w:tcPr>
          <w:p>
            <w:pPr>
              <w:pStyle w:val="TableParagraph"/>
              <w:rPr>
                <w:sz w:val="18"/>
              </w:rPr>
            </w:pPr>
            <w:r>
              <w:rPr>
                <w:sz w:val="18"/>
              </w:rPr>
              <w:t> </w:t>
            </w:r>
          </w:p>
        </w:tc>
        <w:tc>
          <w:tcPr>
            <w:tcW w:w="1561" w:type="dxa"/>
          </w:tcPr>
          <w:p>
            <w:pPr>
              <w:pStyle w:val="TableParagraph"/>
              <w:ind w:left="27"/>
              <w:rPr>
                <w:sz w:val="18"/>
              </w:rPr>
            </w:pPr>
            <w:r>
              <w:rPr>
                <w:sz w:val="18"/>
              </w:rPr>
              <w:t> </w:t>
            </w:r>
          </w:p>
        </w:tc>
        <w:tc>
          <w:tcPr>
            <w:tcW w:w="1561" w:type="dxa"/>
          </w:tcPr>
          <w:p>
            <w:pPr>
              <w:pStyle w:val="TableParagraph"/>
              <w:ind w:left="26"/>
              <w:rPr>
                <w:sz w:val="18"/>
              </w:rPr>
            </w:pPr>
            <w:r>
              <w:rPr>
                <w:sz w:val="18"/>
              </w:rPr>
              <w:t> </w:t>
            </w:r>
          </w:p>
        </w:tc>
        <w:tc>
          <w:tcPr>
            <w:tcW w:w="1552" w:type="dxa"/>
          </w:tcPr>
          <w:p>
            <w:pPr>
              <w:pStyle w:val="TableParagraph"/>
              <w:ind w:left="25"/>
              <w:rPr>
                <w:sz w:val="18"/>
              </w:rPr>
            </w:pPr>
            <w:r>
              <w:rPr>
                <w:sz w:val="18"/>
              </w:rPr>
              <w:t> </w:t>
            </w:r>
          </w:p>
        </w:tc>
      </w:tr>
    </w:tbl>
    <w:p>
      <w:pPr>
        <w:spacing w:before="0"/>
        <w:ind w:left="913" w:right="0" w:firstLine="0"/>
        <w:jc w:val="left"/>
        <w:rPr>
          <w:sz w:val="18"/>
        </w:rPr>
      </w:pPr>
      <w:r>
        <w:rPr>
          <w:sz w:val="18"/>
        </w:rPr>
        <w:t>制 表 人 ： 制 表 日 期 ： </w:t>
      </w:r>
    </w:p>
    <w:p>
      <w:pPr>
        <w:pStyle w:val="BodyText"/>
        <w:rPr>
          <w:sz w:val="19"/>
        </w:rPr>
      </w:pPr>
    </w:p>
    <w:p>
      <w:pPr>
        <w:pStyle w:val="ListParagraph"/>
        <w:numPr>
          <w:ilvl w:val="1"/>
          <w:numId w:val="20"/>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使用过程能源、耗材所需清单</w:t>
      </w:r>
    </w:p>
    <w:p>
      <w:pPr>
        <w:pStyle w:val="BodyText"/>
        <w:spacing w:before="1"/>
        <w:rPr>
          <w:rFonts w:ascii="黑体"/>
          <w:sz w:val="19"/>
        </w:rPr>
      </w:pPr>
    </w:p>
    <w:p>
      <w:pPr>
        <w:pStyle w:val="BodyText"/>
        <w:ind w:left="973"/>
      </w:pPr>
      <w:r>
        <w:rPr/>
        <w:t>使用过程能源、耗材所需清单见表 C.6。 </w:t>
      </w:r>
    </w:p>
    <w:p>
      <w:pPr>
        <w:pStyle w:val="BodyText"/>
        <w:tabs>
          <w:tab w:pos="789" w:val="left" w:leader="none"/>
        </w:tabs>
        <w:spacing w:before="122"/>
        <w:ind w:right="283"/>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C.6</w:t>
        <w:tab/>
      </w:r>
      <w:r>
        <w:rPr>
          <w:rFonts w:ascii="黑体" w:eastAsia="黑体" w:hint="eastAsia"/>
          <w:spacing w:val="-3"/>
        </w:rPr>
        <w:t>使</w:t>
      </w:r>
      <w:r>
        <w:rPr>
          <w:rFonts w:ascii="黑体" w:eastAsia="黑体" w:hint="eastAsia"/>
        </w:rPr>
        <w:t>用</w:t>
      </w:r>
      <w:r>
        <w:rPr>
          <w:rFonts w:ascii="黑体" w:eastAsia="黑体" w:hint="eastAsia"/>
          <w:spacing w:val="-3"/>
        </w:rPr>
        <w:t>过</w:t>
      </w:r>
      <w:r>
        <w:rPr>
          <w:rFonts w:ascii="黑体" w:eastAsia="黑体" w:hint="eastAsia"/>
        </w:rPr>
        <w:t>程</w:t>
      </w:r>
      <w:r>
        <w:rPr>
          <w:rFonts w:ascii="黑体" w:eastAsia="黑体" w:hint="eastAsia"/>
          <w:spacing w:val="-3"/>
        </w:rPr>
        <w:t>能</w:t>
      </w:r>
      <w:r>
        <w:rPr>
          <w:rFonts w:ascii="黑体" w:eastAsia="黑体" w:hint="eastAsia"/>
        </w:rPr>
        <w:t>源</w:t>
      </w:r>
      <w:r>
        <w:rPr>
          <w:rFonts w:ascii="黑体" w:eastAsia="黑体" w:hint="eastAsia"/>
          <w:spacing w:val="-3"/>
        </w:rPr>
        <w:t>、</w:t>
      </w:r>
      <w:r>
        <w:rPr>
          <w:rFonts w:ascii="黑体" w:eastAsia="黑体" w:hint="eastAsia"/>
        </w:rPr>
        <w:t>耗材</w:t>
      </w:r>
      <w:r>
        <w:rPr>
          <w:rFonts w:ascii="黑体" w:eastAsia="黑体" w:hint="eastAsia"/>
          <w:spacing w:val="-3"/>
        </w:rPr>
        <w:t>所</w:t>
      </w:r>
      <w:r>
        <w:rPr>
          <w:rFonts w:ascii="黑体" w:eastAsia="黑体" w:hint="eastAsia"/>
        </w:rPr>
        <w:t>需</w:t>
      </w:r>
      <w:r>
        <w:rPr>
          <w:rFonts w:ascii="黑体" w:eastAsia="黑体" w:hint="eastAsia"/>
          <w:spacing w:val="-3"/>
        </w:rPr>
        <w:t>清</w:t>
      </w:r>
      <w:r>
        <w:rPr>
          <w:rFonts w:ascii="黑体" w:eastAsia="黑体" w:hint="eastAsia"/>
        </w:rPr>
        <w:t>单</w:t>
      </w:r>
    </w:p>
    <w:p>
      <w:pPr>
        <w:spacing w:before="124" w:after="2"/>
        <w:ind w:left="913" w:right="0" w:firstLine="0"/>
        <w:jc w:val="left"/>
        <w:rPr>
          <w:sz w:val="18"/>
        </w:rPr>
      </w:pPr>
      <w:r>
        <w:rPr>
          <w:sz w:val="18"/>
        </w:rPr>
        <w:t>起始时间： 年 月 日至 年 月 日 </w:t>
      </w: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1558"/>
        <w:gridCol w:w="1555"/>
        <w:gridCol w:w="1558"/>
        <w:gridCol w:w="1558"/>
        <w:gridCol w:w="1559"/>
      </w:tblGrid>
      <w:tr>
        <w:trPr>
          <w:trHeight w:val="340" w:hRule="atLeast"/>
        </w:trPr>
        <w:tc>
          <w:tcPr>
            <w:tcW w:w="1558" w:type="dxa"/>
          </w:tcPr>
          <w:p>
            <w:pPr>
              <w:pStyle w:val="TableParagraph"/>
              <w:ind w:left="509"/>
              <w:rPr>
                <w:sz w:val="18"/>
              </w:rPr>
            </w:pPr>
            <w:r>
              <w:rPr>
                <w:sz w:val="18"/>
              </w:rPr>
              <w:t>种 类 </w:t>
            </w:r>
          </w:p>
        </w:tc>
        <w:tc>
          <w:tcPr>
            <w:tcW w:w="1558" w:type="dxa"/>
          </w:tcPr>
          <w:p>
            <w:pPr>
              <w:pStyle w:val="TableParagraph"/>
              <w:ind w:left="508"/>
              <w:rPr>
                <w:sz w:val="18"/>
              </w:rPr>
            </w:pPr>
            <w:r>
              <w:rPr>
                <w:sz w:val="18"/>
              </w:rPr>
              <w:t>单 位 </w:t>
            </w:r>
          </w:p>
        </w:tc>
        <w:tc>
          <w:tcPr>
            <w:tcW w:w="1555" w:type="dxa"/>
          </w:tcPr>
          <w:p>
            <w:pPr>
              <w:pStyle w:val="TableParagraph"/>
              <w:ind w:left="508"/>
              <w:rPr>
                <w:sz w:val="18"/>
              </w:rPr>
            </w:pPr>
            <w:r>
              <w:rPr>
                <w:sz w:val="18"/>
              </w:rPr>
              <w:t>用 量 </w:t>
            </w:r>
          </w:p>
        </w:tc>
        <w:tc>
          <w:tcPr>
            <w:tcW w:w="1558" w:type="dxa"/>
          </w:tcPr>
          <w:p>
            <w:pPr>
              <w:pStyle w:val="TableParagraph"/>
              <w:ind w:left="328"/>
              <w:rPr>
                <w:sz w:val="18"/>
              </w:rPr>
            </w:pPr>
            <w:r>
              <w:rPr>
                <w:sz w:val="18"/>
              </w:rPr>
              <w:t>供应商名称 </w:t>
            </w:r>
          </w:p>
        </w:tc>
        <w:tc>
          <w:tcPr>
            <w:tcW w:w="1558" w:type="dxa"/>
          </w:tcPr>
          <w:p>
            <w:pPr>
              <w:pStyle w:val="TableParagraph"/>
              <w:ind w:left="240"/>
              <w:rPr>
                <w:sz w:val="18"/>
              </w:rPr>
            </w:pPr>
            <w:r>
              <w:rPr>
                <w:sz w:val="18"/>
              </w:rPr>
              <w:t>取样程序描述 </w:t>
            </w:r>
          </w:p>
        </w:tc>
        <w:tc>
          <w:tcPr>
            <w:tcW w:w="1559" w:type="dxa"/>
          </w:tcPr>
          <w:p>
            <w:pPr>
              <w:pStyle w:val="TableParagraph"/>
              <w:ind w:left="509"/>
              <w:rPr>
                <w:sz w:val="18"/>
              </w:rPr>
            </w:pPr>
            <w:r>
              <w:rPr>
                <w:sz w:val="18"/>
              </w:rPr>
              <w:t>来 源 </w:t>
            </w:r>
          </w:p>
        </w:tc>
      </w:tr>
      <w:tr>
        <w:trPr>
          <w:trHeight w:val="337" w:hRule="atLeast"/>
        </w:trPr>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5" w:type="dxa"/>
          </w:tcPr>
          <w:p>
            <w:pPr>
              <w:pStyle w:val="TableParagraph"/>
              <w:rPr>
                <w:sz w:val="18"/>
              </w:rPr>
            </w:pPr>
            <w:r>
              <w:rPr>
                <w:sz w:val="18"/>
              </w:rPr>
              <w:t> </w:t>
            </w:r>
          </w:p>
        </w:tc>
        <w:tc>
          <w:tcPr>
            <w:tcW w:w="1558" w:type="dxa"/>
          </w:tcPr>
          <w:p>
            <w:pPr>
              <w:pStyle w:val="TableParagraph"/>
              <w:rPr>
                <w:sz w:val="18"/>
              </w:rPr>
            </w:pPr>
            <w:r>
              <w:rPr>
                <w:sz w:val="18"/>
              </w:rPr>
              <w:t> </w:t>
            </w:r>
          </w:p>
        </w:tc>
        <w:tc>
          <w:tcPr>
            <w:tcW w:w="1558" w:type="dxa"/>
          </w:tcPr>
          <w:p>
            <w:pPr>
              <w:pStyle w:val="TableParagraph"/>
              <w:rPr>
                <w:sz w:val="18"/>
              </w:rPr>
            </w:pPr>
            <w:r>
              <w:rPr>
                <w:sz w:val="18"/>
              </w:rPr>
              <w:t> </w:t>
            </w:r>
          </w:p>
        </w:tc>
        <w:tc>
          <w:tcPr>
            <w:tcW w:w="1559" w:type="dxa"/>
          </w:tcPr>
          <w:p>
            <w:pPr>
              <w:pStyle w:val="TableParagraph"/>
              <w:rPr>
                <w:sz w:val="18"/>
              </w:rPr>
            </w:pPr>
            <w:r>
              <w:rPr>
                <w:sz w:val="18"/>
              </w:rPr>
              <w:t> </w:t>
            </w:r>
          </w:p>
        </w:tc>
      </w:tr>
      <w:tr>
        <w:trPr>
          <w:trHeight w:val="340" w:hRule="atLeast"/>
        </w:trPr>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5"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9" w:type="dxa"/>
          </w:tcPr>
          <w:p>
            <w:pPr>
              <w:pStyle w:val="TableParagraph"/>
              <w:spacing w:before="55"/>
              <w:rPr>
                <w:sz w:val="18"/>
              </w:rPr>
            </w:pPr>
            <w:r>
              <w:rPr>
                <w:sz w:val="18"/>
              </w:rPr>
              <w:t> </w:t>
            </w:r>
          </w:p>
        </w:tc>
      </w:tr>
      <w:tr>
        <w:trPr>
          <w:trHeight w:val="340" w:hRule="atLeast"/>
        </w:trPr>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5"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9" w:type="dxa"/>
          </w:tcPr>
          <w:p>
            <w:pPr>
              <w:pStyle w:val="TableParagraph"/>
              <w:spacing w:before="55"/>
              <w:rPr>
                <w:sz w:val="18"/>
              </w:rPr>
            </w:pPr>
            <w:r>
              <w:rPr>
                <w:sz w:val="18"/>
              </w:rPr>
              <w:t> </w:t>
            </w:r>
          </w:p>
        </w:tc>
      </w:tr>
      <w:tr>
        <w:trPr>
          <w:trHeight w:val="340" w:hRule="atLeast"/>
        </w:trPr>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5"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8" w:type="dxa"/>
          </w:tcPr>
          <w:p>
            <w:pPr>
              <w:pStyle w:val="TableParagraph"/>
              <w:spacing w:before="55"/>
              <w:rPr>
                <w:sz w:val="18"/>
              </w:rPr>
            </w:pPr>
            <w:r>
              <w:rPr>
                <w:sz w:val="18"/>
              </w:rPr>
              <w:t> </w:t>
            </w:r>
          </w:p>
        </w:tc>
        <w:tc>
          <w:tcPr>
            <w:tcW w:w="1559" w:type="dxa"/>
          </w:tcPr>
          <w:p>
            <w:pPr>
              <w:pStyle w:val="TableParagraph"/>
              <w:spacing w:before="55"/>
              <w:rPr>
                <w:sz w:val="18"/>
              </w:rPr>
            </w:pPr>
            <w:r>
              <w:rPr>
                <w:sz w:val="18"/>
              </w:rPr>
              <w:t> </w:t>
            </w:r>
          </w:p>
        </w:tc>
      </w:tr>
    </w:tbl>
    <w:p>
      <w:pPr>
        <w:spacing w:before="0"/>
        <w:ind w:left="913" w:right="0" w:firstLine="0"/>
        <w:jc w:val="left"/>
        <w:rPr>
          <w:sz w:val="18"/>
        </w:rPr>
      </w:pPr>
      <w:r>
        <w:rPr>
          <w:sz w:val="18"/>
        </w:rPr>
        <w:t>制 表 人 ： 制 表 日 期 ： </w:t>
      </w:r>
    </w:p>
    <w:p>
      <w:pPr>
        <w:pStyle w:val="BodyText"/>
        <w:rPr>
          <w:sz w:val="19"/>
        </w:rPr>
      </w:pPr>
    </w:p>
    <w:p>
      <w:pPr>
        <w:pStyle w:val="ListParagraph"/>
        <w:numPr>
          <w:ilvl w:val="1"/>
          <w:numId w:val="20"/>
        </w:numPr>
        <w:tabs>
          <w:tab w:pos="1078" w:val="left" w:leader="none"/>
          <w:tab w:pos="1079" w:val="left" w:leader="none"/>
        </w:tabs>
        <w:spacing w:line="240" w:lineRule="auto" w:before="0" w:after="0"/>
        <w:ind w:left="1078" w:right="0" w:hanging="527"/>
        <w:jc w:val="left"/>
        <w:rPr>
          <w:rFonts w:ascii="黑体" w:eastAsia="黑体" w:hint="eastAsia"/>
          <w:sz w:val="21"/>
        </w:rPr>
      </w:pPr>
      <w:r>
        <w:rPr>
          <w:rFonts w:ascii="黑体" w:eastAsia="黑体" w:hint="eastAsia"/>
          <w:spacing w:val="-3"/>
          <w:sz w:val="21"/>
        </w:rPr>
        <w:t>使用过程中废物排放清单</w:t>
      </w:r>
    </w:p>
    <w:p>
      <w:pPr>
        <w:pStyle w:val="BodyText"/>
        <w:spacing w:before="1"/>
        <w:rPr>
          <w:rFonts w:ascii="黑体"/>
          <w:sz w:val="19"/>
        </w:rPr>
      </w:pPr>
    </w:p>
    <w:p>
      <w:pPr>
        <w:pStyle w:val="BodyText"/>
        <w:ind w:left="973"/>
      </w:pPr>
      <w:r>
        <w:rPr/>
        <w:t>使用过程中废物排放清单见表 C.7。 </w:t>
      </w:r>
    </w:p>
    <w:p>
      <w:pPr>
        <w:pStyle w:val="BodyText"/>
        <w:spacing w:before="2"/>
        <w:ind w:left="973"/>
      </w:pPr>
      <w:r>
        <w:rPr>
          <w:w w:val="100"/>
        </w:rPr>
        <w:t> </w:t>
      </w:r>
    </w:p>
    <w:p>
      <w:pPr>
        <w:pStyle w:val="BodyText"/>
        <w:spacing w:before="5"/>
        <w:ind w:left="973"/>
      </w:pPr>
      <w:r>
        <w:rPr>
          <w:w w:val="100"/>
        </w:rPr>
        <w:t> </w:t>
      </w:r>
    </w:p>
    <w:p>
      <w:pPr>
        <w:pStyle w:val="BodyText"/>
        <w:spacing w:before="2"/>
        <w:ind w:left="973"/>
      </w:pPr>
      <w:r>
        <w:rPr>
          <w:w w:val="100"/>
        </w:rPr>
        <w:t> </w:t>
      </w:r>
    </w:p>
    <w:p>
      <w:pPr>
        <w:pStyle w:val="BodyText"/>
        <w:spacing w:before="5"/>
        <w:ind w:left="973"/>
      </w:pPr>
      <w:r>
        <w:rPr>
          <w:w w:val="100"/>
        </w:rPr>
        <w:t> </w:t>
      </w:r>
    </w:p>
    <w:p>
      <w:pPr>
        <w:spacing w:after="0"/>
        <w:sectPr>
          <w:pgSz w:w="11910" w:h="16840"/>
          <w:pgMar w:header="1138" w:footer="1141" w:top="1320" w:bottom="1340" w:left="580" w:right="580"/>
        </w:sectPr>
      </w:pPr>
    </w:p>
    <w:p>
      <w:pPr>
        <w:pStyle w:val="BodyText"/>
        <w:spacing w:before="11"/>
        <w:rPr>
          <w:sz w:val="22"/>
        </w:rPr>
      </w:pPr>
    </w:p>
    <w:p>
      <w:pPr>
        <w:pStyle w:val="BodyText"/>
        <w:tabs>
          <w:tab w:pos="1077" w:val="left" w:leader="none"/>
        </w:tabs>
        <w:spacing w:before="72"/>
        <w:ind w:left="288"/>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C.7</w:t>
        <w:tab/>
      </w:r>
      <w:r>
        <w:rPr>
          <w:rFonts w:ascii="黑体" w:eastAsia="黑体" w:hint="eastAsia"/>
          <w:spacing w:val="-3"/>
        </w:rPr>
        <w:t>使</w:t>
      </w:r>
      <w:r>
        <w:rPr>
          <w:rFonts w:ascii="黑体" w:eastAsia="黑体" w:hint="eastAsia"/>
        </w:rPr>
        <w:t>用</w:t>
      </w:r>
      <w:r>
        <w:rPr>
          <w:rFonts w:ascii="黑体" w:eastAsia="黑体" w:hint="eastAsia"/>
          <w:spacing w:val="-3"/>
        </w:rPr>
        <w:t>过</w:t>
      </w:r>
      <w:r>
        <w:rPr>
          <w:rFonts w:ascii="黑体" w:eastAsia="黑体" w:hint="eastAsia"/>
        </w:rPr>
        <w:t>程</w:t>
      </w:r>
      <w:r>
        <w:rPr>
          <w:rFonts w:ascii="黑体" w:eastAsia="黑体" w:hint="eastAsia"/>
          <w:spacing w:val="-3"/>
        </w:rPr>
        <w:t>中</w:t>
      </w:r>
      <w:r>
        <w:rPr>
          <w:rFonts w:ascii="黑体" w:eastAsia="黑体" w:hint="eastAsia"/>
        </w:rPr>
        <w:t>废</w:t>
      </w:r>
      <w:r>
        <w:rPr>
          <w:rFonts w:ascii="黑体" w:eastAsia="黑体" w:hint="eastAsia"/>
          <w:spacing w:val="-3"/>
        </w:rPr>
        <w:t>物</w:t>
      </w:r>
      <w:r>
        <w:rPr>
          <w:rFonts w:ascii="黑体" w:eastAsia="黑体" w:hint="eastAsia"/>
        </w:rPr>
        <w:t>排放</w:t>
      </w:r>
      <w:r>
        <w:rPr>
          <w:rFonts w:ascii="黑体" w:eastAsia="黑体" w:hint="eastAsia"/>
          <w:spacing w:val="-3"/>
        </w:rPr>
        <w:t>清</w:t>
      </w:r>
      <w:r>
        <w:rPr>
          <w:rFonts w:ascii="黑体" w:eastAsia="黑体" w:hint="eastAsia"/>
        </w:rPr>
        <w:t>单</w:t>
      </w:r>
    </w:p>
    <w:p>
      <w:pPr>
        <w:spacing w:before="121" w:after="2"/>
        <w:ind w:left="1198" w:right="0" w:firstLine="0"/>
        <w:jc w:val="left"/>
        <w:rPr>
          <w:sz w:val="18"/>
        </w:rPr>
      </w:pPr>
      <w:r>
        <w:rPr>
          <w:sz w:val="18"/>
        </w:rPr>
        <w:t>起始时间： 年 月 日至 年 月 日 </w:t>
      </w: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1559"/>
        <w:gridCol w:w="1556"/>
        <w:gridCol w:w="1559"/>
        <w:gridCol w:w="1559"/>
        <w:gridCol w:w="1560"/>
      </w:tblGrid>
      <w:tr>
        <w:trPr>
          <w:trHeight w:val="340" w:hRule="atLeast"/>
        </w:trPr>
        <w:tc>
          <w:tcPr>
            <w:tcW w:w="1558" w:type="dxa"/>
          </w:tcPr>
          <w:p>
            <w:pPr>
              <w:pStyle w:val="TableParagraph"/>
              <w:spacing w:before="55"/>
              <w:ind w:left="508"/>
              <w:rPr>
                <w:sz w:val="18"/>
              </w:rPr>
            </w:pPr>
            <w:r>
              <w:rPr>
                <w:sz w:val="18"/>
              </w:rPr>
              <w:t>项 目 </w:t>
            </w:r>
          </w:p>
        </w:tc>
        <w:tc>
          <w:tcPr>
            <w:tcW w:w="1559" w:type="dxa"/>
          </w:tcPr>
          <w:p>
            <w:pPr>
              <w:pStyle w:val="TableParagraph"/>
              <w:spacing w:before="55"/>
              <w:ind w:left="414"/>
              <w:rPr>
                <w:sz w:val="18"/>
              </w:rPr>
            </w:pPr>
            <w:r>
              <w:rPr>
                <w:sz w:val="18"/>
              </w:rPr>
              <w:t>排放描述 </w:t>
            </w:r>
          </w:p>
        </w:tc>
        <w:tc>
          <w:tcPr>
            <w:tcW w:w="1556" w:type="dxa"/>
          </w:tcPr>
          <w:p>
            <w:pPr>
              <w:pStyle w:val="TableParagraph"/>
              <w:spacing w:before="55"/>
              <w:ind w:left="504"/>
              <w:rPr>
                <w:sz w:val="18"/>
              </w:rPr>
            </w:pPr>
            <w:r>
              <w:rPr>
                <w:sz w:val="18"/>
              </w:rPr>
              <w:t>单 位 </w:t>
            </w:r>
          </w:p>
        </w:tc>
        <w:tc>
          <w:tcPr>
            <w:tcW w:w="1559" w:type="dxa"/>
          </w:tcPr>
          <w:p>
            <w:pPr>
              <w:pStyle w:val="TableParagraph"/>
              <w:spacing w:before="55"/>
              <w:ind w:left="506"/>
              <w:rPr>
                <w:sz w:val="18"/>
              </w:rPr>
            </w:pPr>
            <w:r>
              <w:rPr>
                <w:sz w:val="18"/>
              </w:rPr>
              <w:t>排放量 </w:t>
            </w:r>
          </w:p>
        </w:tc>
        <w:tc>
          <w:tcPr>
            <w:tcW w:w="1559" w:type="dxa"/>
          </w:tcPr>
          <w:p>
            <w:pPr>
              <w:pStyle w:val="TableParagraph"/>
              <w:spacing w:before="55"/>
              <w:ind w:left="236"/>
              <w:rPr>
                <w:sz w:val="18"/>
              </w:rPr>
            </w:pPr>
            <w:r>
              <w:rPr>
                <w:sz w:val="18"/>
              </w:rPr>
              <w:t>取样程序描述 </w:t>
            </w:r>
          </w:p>
        </w:tc>
        <w:tc>
          <w:tcPr>
            <w:tcW w:w="1560" w:type="dxa"/>
          </w:tcPr>
          <w:p>
            <w:pPr>
              <w:pStyle w:val="TableParagraph"/>
              <w:spacing w:before="55"/>
              <w:ind w:left="504"/>
              <w:rPr>
                <w:sz w:val="18"/>
              </w:rPr>
            </w:pPr>
            <w:r>
              <w:rPr>
                <w:sz w:val="18"/>
              </w:rPr>
              <w:t>来 源 </w:t>
            </w:r>
          </w:p>
        </w:tc>
      </w:tr>
      <w:tr>
        <w:trPr>
          <w:trHeight w:val="340" w:hRule="atLeast"/>
        </w:trPr>
        <w:tc>
          <w:tcPr>
            <w:tcW w:w="1558" w:type="dxa"/>
          </w:tcPr>
          <w:p>
            <w:pPr>
              <w:pStyle w:val="TableParagraph"/>
              <w:spacing w:before="55"/>
              <w:rPr>
                <w:sz w:val="18"/>
              </w:rPr>
            </w:pPr>
            <w:r>
              <w:rPr>
                <w:sz w:val="18"/>
              </w:rPr>
              <w:t> </w:t>
            </w:r>
          </w:p>
        </w:tc>
        <w:tc>
          <w:tcPr>
            <w:tcW w:w="1559" w:type="dxa"/>
          </w:tcPr>
          <w:p>
            <w:pPr>
              <w:pStyle w:val="TableParagraph"/>
              <w:spacing w:before="55"/>
              <w:ind w:left="25"/>
              <w:rPr>
                <w:sz w:val="18"/>
              </w:rPr>
            </w:pPr>
            <w:r>
              <w:rPr>
                <w:sz w:val="18"/>
              </w:rPr>
              <w:t> </w:t>
            </w:r>
          </w:p>
        </w:tc>
        <w:tc>
          <w:tcPr>
            <w:tcW w:w="1556" w:type="dxa"/>
          </w:tcPr>
          <w:p>
            <w:pPr>
              <w:pStyle w:val="TableParagraph"/>
              <w:spacing w:before="55"/>
              <w:ind w:left="24"/>
              <w:rPr>
                <w:sz w:val="18"/>
              </w:rPr>
            </w:pPr>
            <w:r>
              <w:rPr>
                <w:sz w:val="18"/>
              </w:rPr>
              <w:t> </w:t>
            </w:r>
          </w:p>
        </w:tc>
        <w:tc>
          <w:tcPr>
            <w:tcW w:w="1559" w:type="dxa"/>
          </w:tcPr>
          <w:p>
            <w:pPr>
              <w:pStyle w:val="TableParagraph"/>
              <w:spacing w:before="55"/>
              <w:ind w:left="26"/>
              <w:rPr>
                <w:sz w:val="18"/>
              </w:rPr>
            </w:pPr>
            <w:r>
              <w:rPr>
                <w:sz w:val="18"/>
              </w:rPr>
              <w:t> </w:t>
            </w:r>
          </w:p>
        </w:tc>
        <w:tc>
          <w:tcPr>
            <w:tcW w:w="1559" w:type="dxa"/>
          </w:tcPr>
          <w:p>
            <w:pPr>
              <w:pStyle w:val="TableParagraph"/>
              <w:spacing w:before="55"/>
              <w:ind w:left="25"/>
              <w:rPr>
                <w:sz w:val="18"/>
              </w:rPr>
            </w:pPr>
            <w:r>
              <w:rPr>
                <w:sz w:val="18"/>
              </w:rPr>
              <w:t> </w:t>
            </w:r>
          </w:p>
        </w:tc>
        <w:tc>
          <w:tcPr>
            <w:tcW w:w="1560" w:type="dxa"/>
          </w:tcPr>
          <w:p>
            <w:pPr>
              <w:pStyle w:val="TableParagraph"/>
              <w:spacing w:before="55"/>
              <w:ind w:left="24"/>
              <w:rPr>
                <w:sz w:val="18"/>
              </w:rPr>
            </w:pPr>
            <w:r>
              <w:rPr>
                <w:sz w:val="18"/>
              </w:rPr>
              <w:t> </w:t>
            </w:r>
          </w:p>
        </w:tc>
      </w:tr>
      <w:tr>
        <w:trPr>
          <w:trHeight w:val="340" w:hRule="atLeast"/>
        </w:trPr>
        <w:tc>
          <w:tcPr>
            <w:tcW w:w="1558" w:type="dxa"/>
          </w:tcPr>
          <w:p>
            <w:pPr>
              <w:pStyle w:val="TableParagraph"/>
              <w:spacing w:before="55"/>
              <w:rPr>
                <w:sz w:val="18"/>
              </w:rPr>
            </w:pPr>
            <w:r>
              <w:rPr>
                <w:sz w:val="18"/>
              </w:rPr>
              <w:t> </w:t>
            </w:r>
          </w:p>
        </w:tc>
        <w:tc>
          <w:tcPr>
            <w:tcW w:w="1559" w:type="dxa"/>
          </w:tcPr>
          <w:p>
            <w:pPr>
              <w:pStyle w:val="TableParagraph"/>
              <w:spacing w:before="55"/>
              <w:ind w:left="25"/>
              <w:rPr>
                <w:sz w:val="18"/>
              </w:rPr>
            </w:pPr>
            <w:r>
              <w:rPr>
                <w:sz w:val="18"/>
              </w:rPr>
              <w:t> </w:t>
            </w:r>
          </w:p>
        </w:tc>
        <w:tc>
          <w:tcPr>
            <w:tcW w:w="1556" w:type="dxa"/>
          </w:tcPr>
          <w:p>
            <w:pPr>
              <w:pStyle w:val="TableParagraph"/>
              <w:spacing w:before="55"/>
              <w:ind w:left="24"/>
              <w:rPr>
                <w:sz w:val="18"/>
              </w:rPr>
            </w:pPr>
            <w:r>
              <w:rPr>
                <w:sz w:val="18"/>
              </w:rPr>
              <w:t> </w:t>
            </w:r>
          </w:p>
        </w:tc>
        <w:tc>
          <w:tcPr>
            <w:tcW w:w="1559" w:type="dxa"/>
          </w:tcPr>
          <w:p>
            <w:pPr>
              <w:pStyle w:val="TableParagraph"/>
              <w:spacing w:before="55"/>
              <w:ind w:left="26"/>
              <w:rPr>
                <w:sz w:val="18"/>
              </w:rPr>
            </w:pPr>
            <w:r>
              <w:rPr>
                <w:sz w:val="18"/>
              </w:rPr>
              <w:t> </w:t>
            </w:r>
          </w:p>
        </w:tc>
        <w:tc>
          <w:tcPr>
            <w:tcW w:w="1559" w:type="dxa"/>
          </w:tcPr>
          <w:p>
            <w:pPr>
              <w:pStyle w:val="TableParagraph"/>
              <w:spacing w:before="55"/>
              <w:ind w:left="25"/>
              <w:rPr>
                <w:sz w:val="18"/>
              </w:rPr>
            </w:pPr>
            <w:r>
              <w:rPr>
                <w:sz w:val="18"/>
              </w:rPr>
              <w:t> </w:t>
            </w:r>
          </w:p>
        </w:tc>
        <w:tc>
          <w:tcPr>
            <w:tcW w:w="1560" w:type="dxa"/>
          </w:tcPr>
          <w:p>
            <w:pPr>
              <w:pStyle w:val="TableParagraph"/>
              <w:spacing w:before="55"/>
              <w:ind w:left="24"/>
              <w:rPr>
                <w:sz w:val="18"/>
              </w:rPr>
            </w:pPr>
            <w:r>
              <w:rPr>
                <w:sz w:val="18"/>
              </w:rPr>
              <w:t> </w:t>
            </w:r>
          </w:p>
        </w:tc>
      </w:tr>
      <w:tr>
        <w:trPr>
          <w:trHeight w:val="340" w:hRule="atLeast"/>
        </w:trPr>
        <w:tc>
          <w:tcPr>
            <w:tcW w:w="1558" w:type="dxa"/>
          </w:tcPr>
          <w:p>
            <w:pPr>
              <w:pStyle w:val="TableParagraph"/>
              <w:rPr>
                <w:sz w:val="18"/>
              </w:rPr>
            </w:pPr>
            <w:r>
              <w:rPr>
                <w:sz w:val="18"/>
              </w:rPr>
              <w:t> </w:t>
            </w:r>
          </w:p>
        </w:tc>
        <w:tc>
          <w:tcPr>
            <w:tcW w:w="1559" w:type="dxa"/>
          </w:tcPr>
          <w:p>
            <w:pPr>
              <w:pStyle w:val="TableParagraph"/>
              <w:ind w:left="25"/>
              <w:rPr>
                <w:sz w:val="18"/>
              </w:rPr>
            </w:pPr>
            <w:r>
              <w:rPr>
                <w:sz w:val="18"/>
              </w:rPr>
              <w:t> </w:t>
            </w:r>
          </w:p>
        </w:tc>
        <w:tc>
          <w:tcPr>
            <w:tcW w:w="1556" w:type="dxa"/>
          </w:tcPr>
          <w:p>
            <w:pPr>
              <w:pStyle w:val="TableParagraph"/>
              <w:ind w:left="24"/>
              <w:rPr>
                <w:sz w:val="18"/>
              </w:rPr>
            </w:pPr>
            <w:r>
              <w:rPr>
                <w:sz w:val="18"/>
              </w:rPr>
              <w:t> </w:t>
            </w:r>
          </w:p>
        </w:tc>
        <w:tc>
          <w:tcPr>
            <w:tcW w:w="1559" w:type="dxa"/>
          </w:tcPr>
          <w:p>
            <w:pPr>
              <w:pStyle w:val="TableParagraph"/>
              <w:ind w:left="26"/>
              <w:rPr>
                <w:sz w:val="18"/>
              </w:rPr>
            </w:pPr>
            <w:r>
              <w:rPr>
                <w:sz w:val="18"/>
              </w:rPr>
              <w:t> </w:t>
            </w:r>
          </w:p>
        </w:tc>
        <w:tc>
          <w:tcPr>
            <w:tcW w:w="1559" w:type="dxa"/>
          </w:tcPr>
          <w:p>
            <w:pPr>
              <w:pStyle w:val="TableParagraph"/>
              <w:ind w:left="25"/>
              <w:rPr>
                <w:sz w:val="18"/>
              </w:rPr>
            </w:pPr>
            <w:r>
              <w:rPr>
                <w:sz w:val="18"/>
              </w:rPr>
              <w:t> </w:t>
            </w:r>
          </w:p>
        </w:tc>
        <w:tc>
          <w:tcPr>
            <w:tcW w:w="1560" w:type="dxa"/>
          </w:tcPr>
          <w:p>
            <w:pPr>
              <w:pStyle w:val="TableParagraph"/>
              <w:ind w:left="24"/>
              <w:rPr>
                <w:sz w:val="18"/>
              </w:rPr>
            </w:pPr>
            <w:r>
              <w:rPr>
                <w:sz w:val="18"/>
              </w:rPr>
              <w:t> </w:t>
            </w:r>
          </w:p>
        </w:tc>
      </w:tr>
      <w:tr>
        <w:trPr>
          <w:trHeight w:val="340" w:hRule="atLeast"/>
        </w:trPr>
        <w:tc>
          <w:tcPr>
            <w:tcW w:w="1558" w:type="dxa"/>
          </w:tcPr>
          <w:p>
            <w:pPr>
              <w:pStyle w:val="TableParagraph"/>
              <w:rPr>
                <w:sz w:val="18"/>
              </w:rPr>
            </w:pPr>
            <w:r>
              <w:rPr>
                <w:sz w:val="18"/>
              </w:rPr>
              <w:t> </w:t>
            </w:r>
          </w:p>
        </w:tc>
        <w:tc>
          <w:tcPr>
            <w:tcW w:w="1559" w:type="dxa"/>
          </w:tcPr>
          <w:p>
            <w:pPr>
              <w:pStyle w:val="TableParagraph"/>
              <w:ind w:left="25"/>
              <w:rPr>
                <w:sz w:val="18"/>
              </w:rPr>
            </w:pPr>
            <w:r>
              <w:rPr>
                <w:sz w:val="18"/>
              </w:rPr>
              <w:t> </w:t>
            </w:r>
          </w:p>
        </w:tc>
        <w:tc>
          <w:tcPr>
            <w:tcW w:w="1556" w:type="dxa"/>
          </w:tcPr>
          <w:p>
            <w:pPr>
              <w:pStyle w:val="TableParagraph"/>
              <w:ind w:left="24"/>
              <w:rPr>
                <w:sz w:val="18"/>
              </w:rPr>
            </w:pPr>
            <w:r>
              <w:rPr>
                <w:sz w:val="18"/>
              </w:rPr>
              <w:t> </w:t>
            </w:r>
          </w:p>
        </w:tc>
        <w:tc>
          <w:tcPr>
            <w:tcW w:w="1559" w:type="dxa"/>
          </w:tcPr>
          <w:p>
            <w:pPr>
              <w:pStyle w:val="TableParagraph"/>
              <w:ind w:left="26"/>
              <w:rPr>
                <w:sz w:val="18"/>
              </w:rPr>
            </w:pPr>
            <w:r>
              <w:rPr>
                <w:sz w:val="18"/>
              </w:rPr>
              <w:t> </w:t>
            </w:r>
          </w:p>
        </w:tc>
        <w:tc>
          <w:tcPr>
            <w:tcW w:w="1559" w:type="dxa"/>
          </w:tcPr>
          <w:p>
            <w:pPr>
              <w:pStyle w:val="TableParagraph"/>
              <w:ind w:left="25"/>
              <w:rPr>
                <w:sz w:val="18"/>
              </w:rPr>
            </w:pPr>
            <w:r>
              <w:rPr>
                <w:sz w:val="18"/>
              </w:rPr>
              <w:t> </w:t>
            </w:r>
          </w:p>
        </w:tc>
        <w:tc>
          <w:tcPr>
            <w:tcW w:w="1560" w:type="dxa"/>
          </w:tcPr>
          <w:p>
            <w:pPr>
              <w:pStyle w:val="TableParagraph"/>
              <w:ind w:left="24"/>
              <w:rPr>
                <w:sz w:val="18"/>
              </w:rPr>
            </w:pPr>
            <w:r>
              <w:rPr>
                <w:sz w:val="18"/>
              </w:rPr>
              <w:t> </w:t>
            </w:r>
          </w:p>
        </w:tc>
      </w:tr>
    </w:tbl>
    <w:p>
      <w:pPr>
        <w:spacing w:before="0"/>
        <w:ind w:left="1198" w:right="0" w:firstLine="0"/>
        <w:jc w:val="left"/>
        <w:rPr>
          <w:sz w:val="18"/>
        </w:rPr>
      </w:pPr>
      <w:r>
        <w:rPr>
          <w:sz w:val="18"/>
        </w:rPr>
        <w:t>制 表 人 ： 制 表 日 期 ： </w:t>
      </w:r>
    </w:p>
    <w:p>
      <w:pPr>
        <w:pStyle w:val="BodyText"/>
        <w:spacing w:before="12"/>
        <w:rPr>
          <w:sz w:val="18"/>
        </w:rPr>
      </w:pPr>
    </w:p>
    <w:p>
      <w:pPr>
        <w:pStyle w:val="ListParagraph"/>
        <w:numPr>
          <w:ilvl w:val="1"/>
          <w:numId w:val="20"/>
        </w:numPr>
        <w:tabs>
          <w:tab w:pos="1364" w:val="left" w:leader="none"/>
          <w:tab w:pos="1365" w:val="left" w:leader="none"/>
        </w:tabs>
        <w:spacing w:line="240" w:lineRule="auto" w:before="0" w:after="0"/>
        <w:ind w:left="1364" w:right="0" w:hanging="527"/>
        <w:jc w:val="left"/>
        <w:rPr>
          <w:rFonts w:ascii="黑体" w:eastAsia="黑体" w:hint="eastAsia"/>
          <w:sz w:val="21"/>
        </w:rPr>
      </w:pPr>
      <w:r>
        <w:rPr>
          <w:rFonts w:ascii="黑体" w:eastAsia="黑体" w:hint="eastAsia"/>
          <w:spacing w:val="-3"/>
          <w:sz w:val="21"/>
        </w:rPr>
        <w:t>回收处置过程物质输出清单</w:t>
      </w:r>
    </w:p>
    <w:p>
      <w:pPr>
        <w:pStyle w:val="BodyText"/>
        <w:spacing w:before="1"/>
        <w:rPr>
          <w:rFonts w:ascii="黑体"/>
          <w:sz w:val="19"/>
        </w:rPr>
      </w:pPr>
    </w:p>
    <w:p>
      <w:pPr>
        <w:pStyle w:val="BodyText"/>
        <w:spacing w:before="1"/>
        <w:ind w:left="1258"/>
      </w:pPr>
      <w:r>
        <w:rPr/>
        <w:t>回收处置过程物质输出清单见表 C.8。 </w:t>
      </w:r>
    </w:p>
    <w:p>
      <w:pPr>
        <w:pStyle w:val="BodyText"/>
        <w:tabs>
          <w:tab w:pos="1077" w:val="left" w:leader="none"/>
        </w:tabs>
        <w:spacing w:before="122"/>
        <w:ind w:left="287"/>
        <w:jc w:val="center"/>
        <w:rPr>
          <w:rFonts w:ascii="黑体" w:eastAsia="黑体" w:hint="eastAsia"/>
        </w:rPr>
      </w:pPr>
      <w:r>
        <w:rPr>
          <w:rFonts w:ascii="黑体" w:eastAsia="黑体" w:hint="eastAsia"/>
        </w:rPr>
        <w:t>表</w:t>
      </w:r>
      <w:r>
        <w:rPr>
          <w:rFonts w:ascii="黑体" w:eastAsia="黑体" w:hint="eastAsia"/>
          <w:spacing w:val="-53"/>
        </w:rPr>
        <w:t> </w:t>
      </w:r>
      <w:r>
        <w:rPr>
          <w:rFonts w:ascii="黑体" w:eastAsia="黑体" w:hint="eastAsia"/>
        </w:rPr>
        <w:t>C.8</w:t>
        <w:tab/>
      </w:r>
      <w:r>
        <w:rPr>
          <w:rFonts w:ascii="黑体" w:eastAsia="黑体" w:hint="eastAsia"/>
          <w:spacing w:val="-3"/>
        </w:rPr>
        <w:t>回</w:t>
      </w:r>
      <w:r>
        <w:rPr>
          <w:rFonts w:ascii="黑体" w:eastAsia="黑体" w:hint="eastAsia"/>
        </w:rPr>
        <w:t>收</w:t>
      </w:r>
      <w:r>
        <w:rPr>
          <w:rFonts w:ascii="黑体" w:eastAsia="黑体" w:hint="eastAsia"/>
          <w:spacing w:val="-3"/>
        </w:rPr>
        <w:t>处</w:t>
      </w:r>
      <w:r>
        <w:rPr>
          <w:rFonts w:ascii="黑体" w:eastAsia="黑体" w:hint="eastAsia"/>
        </w:rPr>
        <w:t>置</w:t>
      </w:r>
      <w:r>
        <w:rPr>
          <w:rFonts w:ascii="黑体" w:eastAsia="黑体" w:hint="eastAsia"/>
          <w:spacing w:val="-3"/>
        </w:rPr>
        <w:t>过</w:t>
      </w:r>
      <w:r>
        <w:rPr>
          <w:rFonts w:ascii="黑体" w:eastAsia="黑体" w:hint="eastAsia"/>
        </w:rPr>
        <w:t>程</w:t>
      </w:r>
      <w:r>
        <w:rPr>
          <w:rFonts w:ascii="黑体" w:eastAsia="黑体" w:hint="eastAsia"/>
          <w:spacing w:val="-3"/>
        </w:rPr>
        <w:t>物</w:t>
      </w:r>
      <w:r>
        <w:rPr>
          <w:rFonts w:ascii="黑体" w:eastAsia="黑体" w:hint="eastAsia"/>
        </w:rPr>
        <w:t>质输</w:t>
      </w:r>
      <w:r>
        <w:rPr>
          <w:rFonts w:ascii="黑体" w:eastAsia="黑体" w:hint="eastAsia"/>
          <w:spacing w:val="-3"/>
        </w:rPr>
        <w:t>出</w:t>
      </w:r>
      <w:r>
        <w:rPr>
          <w:rFonts w:ascii="黑体" w:eastAsia="黑体" w:hint="eastAsia"/>
        </w:rPr>
        <w:t>清单</w:t>
      </w:r>
    </w:p>
    <w:p>
      <w:pPr>
        <w:spacing w:before="124" w:after="2"/>
        <w:ind w:left="1198" w:right="0" w:firstLine="0"/>
        <w:jc w:val="left"/>
        <w:rPr>
          <w:sz w:val="18"/>
        </w:rPr>
      </w:pPr>
      <w:r>
        <w:rPr>
          <w:sz w:val="18"/>
        </w:rPr>
        <w:t>起始时间： 年 月 日至 年 月 日 </w:t>
      </w: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850"/>
        <w:gridCol w:w="853"/>
        <w:gridCol w:w="850"/>
        <w:gridCol w:w="2410"/>
        <w:gridCol w:w="1133"/>
        <w:gridCol w:w="1278"/>
        <w:gridCol w:w="985"/>
      </w:tblGrid>
      <w:tr>
        <w:trPr>
          <w:trHeight w:val="465" w:hRule="atLeast"/>
        </w:trPr>
        <w:tc>
          <w:tcPr>
            <w:tcW w:w="989" w:type="dxa"/>
          </w:tcPr>
          <w:p>
            <w:pPr>
              <w:pStyle w:val="TableParagraph"/>
              <w:spacing w:before="117"/>
              <w:ind w:left="223"/>
              <w:rPr>
                <w:sz w:val="18"/>
              </w:rPr>
            </w:pPr>
            <w:r>
              <w:rPr>
                <w:sz w:val="18"/>
              </w:rPr>
              <w:t>名 称 </w:t>
            </w:r>
          </w:p>
        </w:tc>
        <w:tc>
          <w:tcPr>
            <w:tcW w:w="850" w:type="dxa"/>
          </w:tcPr>
          <w:p>
            <w:pPr>
              <w:pStyle w:val="TableParagraph"/>
              <w:spacing w:before="117"/>
              <w:ind w:left="153"/>
              <w:rPr>
                <w:sz w:val="18"/>
              </w:rPr>
            </w:pPr>
            <w:r>
              <w:rPr>
                <w:sz w:val="18"/>
              </w:rPr>
              <w:t>单 位 </w:t>
            </w:r>
          </w:p>
        </w:tc>
        <w:tc>
          <w:tcPr>
            <w:tcW w:w="853" w:type="dxa"/>
          </w:tcPr>
          <w:p>
            <w:pPr>
              <w:pStyle w:val="TableParagraph"/>
              <w:spacing w:before="117"/>
              <w:ind w:left="152"/>
              <w:rPr>
                <w:sz w:val="18"/>
              </w:rPr>
            </w:pPr>
            <w:r>
              <w:rPr>
                <w:sz w:val="18"/>
              </w:rPr>
              <w:t>回收量 </w:t>
            </w:r>
          </w:p>
        </w:tc>
        <w:tc>
          <w:tcPr>
            <w:tcW w:w="850" w:type="dxa"/>
          </w:tcPr>
          <w:p>
            <w:pPr>
              <w:pStyle w:val="TableParagraph"/>
              <w:spacing w:before="117"/>
              <w:ind w:left="61" w:right="-44"/>
              <w:rPr>
                <w:sz w:val="18"/>
              </w:rPr>
            </w:pPr>
            <w:r>
              <w:rPr>
                <w:sz w:val="18"/>
              </w:rPr>
              <w:t>处理方式 </w:t>
            </w:r>
          </w:p>
        </w:tc>
        <w:tc>
          <w:tcPr>
            <w:tcW w:w="2410" w:type="dxa"/>
          </w:tcPr>
          <w:p>
            <w:pPr>
              <w:pStyle w:val="TableParagraph"/>
              <w:spacing w:line="230" w:lineRule="exact" w:before="0"/>
              <w:ind w:left="271"/>
              <w:rPr>
                <w:sz w:val="18"/>
              </w:rPr>
            </w:pPr>
            <w:r>
              <w:rPr>
                <w:sz w:val="18"/>
              </w:rPr>
              <w:t>运输方式（货车、火车、 </w:t>
            </w:r>
          </w:p>
          <w:p>
            <w:pPr>
              <w:pStyle w:val="TableParagraph"/>
              <w:spacing w:line="213" w:lineRule="exact" w:before="2"/>
              <w:ind w:left="221"/>
              <w:rPr>
                <w:sz w:val="18"/>
              </w:rPr>
            </w:pPr>
            <w:r>
              <w:rPr>
                <w:sz w:val="18"/>
              </w:rPr>
              <w:t>飞机、 轮船或其他方式） </w:t>
            </w:r>
          </w:p>
        </w:tc>
        <w:tc>
          <w:tcPr>
            <w:tcW w:w="1133" w:type="dxa"/>
          </w:tcPr>
          <w:p>
            <w:pPr>
              <w:pStyle w:val="TableParagraph"/>
              <w:spacing w:before="117"/>
              <w:ind w:left="67" w:right="-29"/>
              <w:rPr>
                <w:sz w:val="18"/>
              </w:rPr>
            </w:pPr>
            <w:r>
              <w:rPr>
                <w:sz w:val="18"/>
              </w:rPr>
              <w:t>运输距离/km </w:t>
            </w:r>
          </w:p>
        </w:tc>
        <w:tc>
          <w:tcPr>
            <w:tcW w:w="1278" w:type="dxa"/>
          </w:tcPr>
          <w:p>
            <w:pPr>
              <w:pStyle w:val="TableParagraph"/>
              <w:spacing w:before="117"/>
              <w:ind w:left="96"/>
              <w:rPr>
                <w:sz w:val="18"/>
              </w:rPr>
            </w:pPr>
            <w:r>
              <w:rPr>
                <w:sz w:val="18"/>
              </w:rPr>
              <w:t>取样程序描述 </w:t>
            </w:r>
          </w:p>
        </w:tc>
        <w:tc>
          <w:tcPr>
            <w:tcW w:w="985" w:type="dxa"/>
          </w:tcPr>
          <w:p>
            <w:pPr>
              <w:pStyle w:val="TableParagraph"/>
              <w:spacing w:before="117"/>
              <w:ind w:left="218"/>
              <w:rPr>
                <w:sz w:val="18"/>
              </w:rPr>
            </w:pPr>
            <w:r>
              <w:rPr>
                <w:sz w:val="18"/>
              </w:rPr>
              <w:t>来 源 </w:t>
            </w:r>
          </w:p>
        </w:tc>
      </w:tr>
      <w:tr>
        <w:trPr>
          <w:trHeight w:val="340" w:hRule="atLeast"/>
        </w:trPr>
        <w:tc>
          <w:tcPr>
            <w:tcW w:w="989" w:type="dxa"/>
          </w:tcPr>
          <w:p>
            <w:pPr>
              <w:pStyle w:val="TableParagraph"/>
              <w:spacing w:before="55"/>
              <w:rPr>
                <w:sz w:val="18"/>
              </w:rPr>
            </w:pPr>
            <w:r>
              <w:rPr>
                <w:sz w:val="18"/>
              </w:rPr>
              <w:t> </w:t>
            </w:r>
          </w:p>
        </w:tc>
        <w:tc>
          <w:tcPr>
            <w:tcW w:w="850" w:type="dxa"/>
          </w:tcPr>
          <w:p>
            <w:pPr>
              <w:pStyle w:val="TableParagraph"/>
              <w:spacing w:before="55"/>
              <w:ind w:left="25"/>
              <w:rPr>
                <w:sz w:val="18"/>
              </w:rPr>
            </w:pPr>
            <w:r>
              <w:rPr>
                <w:sz w:val="18"/>
              </w:rPr>
              <w:t> </w:t>
            </w:r>
          </w:p>
        </w:tc>
        <w:tc>
          <w:tcPr>
            <w:tcW w:w="853" w:type="dxa"/>
          </w:tcPr>
          <w:p>
            <w:pPr>
              <w:pStyle w:val="TableParagraph"/>
              <w:spacing w:before="55"/>
              <w:ind w:left="25"/>
              <w:rPr>
                <w:sz w:val="18"/>
              </w:rPr>
            </w:pPr>
            <w:r>
              <w:rPr>
                <w:sz w:val="18"/>
              </w:rPr>
              <w:t> </w:t>
            </w:r>
          </w:p>
        </w:tc>
        <w:tc>
          <w:tcPr>
            <w:tcW w:w="850" w:type="dxa"/>
          </w:tcPr>
          <w:p>
            <w:pPr>
              <w:pStyle w:val="TableParagraph"/>
              <w:spacing w:before="55"/>
              <w:ind w:left="25"/>
              <w:rPr>
                <w:sz w:val="18"/>
              </w:rPr>
            </w:pPr>
            <w:r>
              <w:rPr>
                <w:sz w:val="18"/>
              </w:rPr>
              <w:t> </w:t>
            </w:r>
          </w:p>
        </w:tc>
        <w:tc>
          <w:tcPr>
            <w:tcW w:w="2410" w:type="dxa"/>
          </w:tcPr>
          <w:p>
            <w:pPr>
              <w:pStyle w:val="TableParagraph"/>
              <w:spacing w:before="55"/>
              <w:ind w:left="24"/>
              <w:rPr>
                <w:sz w:val="18"/>
              </w:rPr>
            </w:pPr>
            <w:r>
              <w:rPr>
                <w:sz w:val="18"/>
              </w:rPr>
              <w:t> </w:t>
            </w:r>
          </w:p>
        </w:tc>
        <w:tc>
          <w:tcPr>
            <w:tcW w:w="1133" w:type="dxa"/>
          </w:tcPr>
          <w:p>
            <w:pPr>
              <w:pStyle w:val="TableParagraph"/>
              <w:spacing w:before="55"/>
              <w:ind w:left="24"/>
              <w:rPr>
                <w:sz w:val="18"/>
              </w:rPr>
            </w:pPr>
            <w:r>
              <w:rPr>
                <w:sz w:val="18"/>
              </w:rPr>
              <w:t> </w:t>
            </w:r>
          </w:p>
        </w:tc>
        <w:tc>
          <w:tcPr>
            <w:tcW w:w="1278" w:type="dxa"/>
          </w:tcPr>
          <w:p>
            <w:pPr>
              <w:pStyle w:val="TableParagraph"/>
              <w:spacing w:before="55"/>
              <w:ind w:left="26"/>
              <w:rPr>
                <w:sz w:val="18"/>
              </w:rPr>
            </w:pPr>
            <w:r>
              <w:rPr>
                <w:sz w:val="18"/>
              </w:rPr>
              <w:t> </w:t>
            </w:r>
          </w:p>
        </w:tc>
        <w:tc>
          <w:tcPr>
            <w:tcW w:w="985" w:type="dxa"/>
          </w:tcPr>
          <w:p>
            <w:pPr>
              <w:pStyle w:val="TableParagraph"/>
              <w:spacing w:before="55"/>
              <w:ind w:left="23"/>
              <w:rPr>
                <w:sz w:val="18"/>
              </w:rPr>
            </w:pPr>
            <w:r>
              <w:rPr>
                <w:sz w:val="18"/>
              </w:rPr>
              <w:t> </w:t>
            </w:r>
          </w:p>
        </w:tc>
      </w:tr>
      <w:tr>
        <w:trPr>
          <w:trHeight w:val="340" w:hRule="atLeast"/>
        </w:trPr>
        <w:tc>
          <w:tcPr>
            <w:tcW w:w="989" w:type="dxa"/>
          </w:tcPr>
          <w:p>
            <w:pPr>
              <w:pStyle w:val="TableParagraph"/>
              <w:spacing w:before="55"/>
              <w:rPr>
                <w:sz w:val="18"/>
              </w:rPr>
            </w:pPr>
            <w:r>
              <w:rPr>
                <w:sz w:val="18"/>
              </w:rPr>
              <w:t> </w:t>
            </w:r>
          </w:p>
        </w:tc>
        <w:tc>
          <w:tcPr>
            <w:tcW w:w="850" w:type="dxa"/>
          </w:tcPr>
          <w:p>
            <w:pPr>
              <w:pStyle w:val="TableParagraph"/>
              <w:spacing w:before="55"/>
              <w:ind w:left="25"/>
              <w:rPr>
                <w:sz w:val="18"/>
              </w:rPr>
            </w:pPr>
            <w:r>
              <w:rPr>
                <w:sz w:val="18"/>
              </w:rPr>
              <w:t> </w:t>
            </w:r>
          </w:p>
        </w:tc>
        <w:tc>
          <w:tcPr>
            <w:tcW w:w="853" w:type="dxa"/>
          </w:tcPr>
          <w:p>
            <w:pPr>
              <w:pStyle w:val="TableParagraph"/>
              <w:spacing w:before="55"/>
              <w:ind w:left="25"/>
              <w:rPr>
                <w:sz w:val="18"/>
              </w:rPr>
            </w:pPr>
            <w:r>
              <w:rPr>
                <w:sz w:val="18"/>
              </w:rPr>
              <w:t> </w:t>
            </w:r>
          </w:p>
        </w:tc>
        <w:tc>
          <w:tcPr>
            <w:tcW w:w="850" w:type="dxa"/>
          </w:tcPr>
          <w:p>
            <w:pPr>
              <w:pStyle w:val="TableParagraph"/>
              <w:spacing w:before="55"/>
              <w:ind w:left="25"/>
              <w:rPr>
                <w:sz w:val="18"/>
              </w:rPr>
            </w:pPr>
            <w:r>
              <w:rPr>
                <w:sz w:val="18"/>
              </w:rPr>
              <w:t> </w:t>
            </w:r>
          </w:p>
        </w:tc>
        <w:tc>
          <w:tcPr>
            <w:tcW w:w="2410" w:type="dxa"/>
          </w:tcPr>
          <w:p>
            <w:pPr>
              <w:pStyle w:val="TableParagraph"/>
              <w:spacing w:before="55"/>
              <w:ind w:left="24"/>
              <w:rPr>
                <w:sz w:val="18"/>
              </w:rPr>
            </w:pPr>
            <w:r>
              <w:rPr>
                <w:sz w:val="18"/>
              </w:rPr>
              <w:t> </w:t>
            </w:r>
          </w:p>
        </w:tc>
        <w:tc>
          <w:tcPr>
            <w:tcW w:w="1133" w:type="dxa"/>
          </w:tcPr>
          <w:p>
            <w:pPr>
              <w:pStyle w:val="TableParagraph"/>
              <w:spacing w:before="55"/>
              <w:ind w:left="24"/>
              <w:rPr>
                <w:sz w:val="18"/>
              </w:rPr>
            </w:pPr>
            <w:r>
              <w:rPr>
                <w:sz w:val="18"/>
              </w:rPr>
              <w:t> </w:t>
            </w:r>
          </w:p>
        </w:tc>
        <w:tc>
          <w:tcPr>
            <w:tcW w:w="1278" w:type="dxa"/>
          </w:tcPr>
          <w:p>
            <w:pPr>
              <w:pStyle w:val="TableParagraph"/>
              <w:spacing w:before="55"/>
              <w:ind w:left="26"/>
              <w:rPr>
                <w:sz w:val="18"/>
              </w:rPr>
            </w:pPr>
            <w:r>
              <w:rPr>
                <w:sz w:val="18"/>
              </w:rPr>
              <w:t> </w:t>
            </w:r>
          </w:p>
        </w:tc>
        <w:tc>
          <w:tcPr>
            <w:tcW w:w="985" w:type="dxa"/>
          </w:tcPr>
          <w:p>
            <w:pPr>
              <w:pStyle w:val="TableParagraph"/>
              <w:spacing w:before="55"/>
              <w:ind w:left="23"/>
              <w:rPr>
                <w:sz w:val="18"/>
              </w:rPr>
            </w:pPr>
            <w:r>
              <w:rPr>
                <w:sz w:val="18"/>
              </w:rPr>
              <w:t> </w:t>
            </w:r>
          </w:p>
        </w:tc>
      </w:tr>
      <w:tr>
        <w:trPr>
          <w:trHeight w:val="340" w:hRule="atLeast"/>
        </w:trPr>
        <w:tc>
          <w:tcPr>
            <w:tcW w:w="989" w:type="dxa"/>
          </w:tcPr>
          <w:p>
            <w:pPr>
              <w:pStyle w:val="TableParagraph"/>
              <w:spacing w:before="55"/>
              <w:rPr>
                <w:sz w:val="18"/>
              </w:rPr>
            </w:pPr>
            <w:r>
              <w:rPr>
                <w:sz w:val="18"/>
              </w:rPr>
              <w:t> </w:t>
            </w:r>
          </w:p>
        </w:tc>
        <w:tc>
          <w:tcPr>
            <w:tcW w:w="850" w:type="dxa"/>
          </w:tcPr>
          <w:p>
            <w:pPr>
              <w:pStyle w:val="TableParagraph"/>
              <w:spacing w:before="55"/>
              <w:ind w:left="25"/>
              <w:rPr>
                <w:sz w:val="18"/>
              </w:rPr>
            </w:pPr>
            <w:r>
              <w:rPr>
                <w:sz w:val="18"/>
              </w:rPr>
              <w:t> </w:t>
            </w:r>
          </w:p>
        </w:tc>
        <w:tc>
          <w:tcPr>
            <w:tcW w:w="853" w:type="dxa"/>
          </w:tcPr>
          <w:p>
            <w:pPr>
              <w:pStyle w:val="TableParagraph"/>
              <w:spacing w:before="55"/>
              <w:ind w:left="25"/>
              <w:rPr>
                <w:sz w:val="18"/>
              </w:rPr>
            </w:pPr>
            <w:r>
              <w:rPr>
                <w:sz w:val="18"/>
              </w:rPr>
              <w:t> </w:t>
            </w:r>
          </w:p>
        </w:tc>
        <w:tc>
          <w:tcPr>
            <w:tcW w:w="850" w:type="dxa"/>
          </w:tcPr>
          <w:p>
            <w:pPr>
              <w:pStyle w:val="TableParagraph"/>
              <w:spacing w:before="55"/>
              <w:ind w:left="25"/>
              <w:rPr>
                <w:sz w:val="18"/>
              </w:rPr>
            </w:pPr>
            <w:r>
              <w:rPr>
                <w:sz w:val="18"/>
              </w:rPr>
              <w:t> </w:t>
            </w:r>
          </w:p>
        </w:tc>
        <w:tc>
          <w:tcPr>
            <w:tcW w:w="2410" w:type="dxa"/>
          </w:tcPr>
          <w:p>
            <w:pPr>
              <w:pStyle w:val="TableParagraph"/>
              <w:spacing w:before="55"/>
              <w:ind w:left="24"/>
              <w:rPr>
                <w:sz w:val="18"/>
              </w:rPr>
            </w:pPr>
            <w:r>
              <w:rPr>
                <w:sz w:val="18"/>
              </w:rPr>
              <w:t> </w:t>
            </w:r>
          </w:p>
        </w:tc>
        <w:tc>
          <w:tcPr>
            <w:tcW w:w="1133" w:type="dxa"/>
          </w:tcPr>
          <w:p>
            <w:pPr>
              <w:pStyle w:val="TableParagraph"/>
              <w:spacing w:before="55"/>
              <w:ind w:left="24"/>
              <w:rPr>
                <w:sz w:val="18"/>
              </w:rPr>
            </w:pPr>
            <w:r>
              <w:rPr>
                <w:sz w:val="18"/>
              </w:rPr>
              <w:t> </w:t>
            </w:r>
          </w:p>
        </w:tc>
        <w:tc>
          <w:tcPr>
            <w:tcW w:w="1278" w:type="dxa"/>
          </w:tcPr>
          <w:p>
            <w:pPr>
              <w:pStyle w:val="TableParagraph"/>
              <w:spacing w:before="55"/>
              <w:ind w:left="26"/>
              <w:rPr>
                <w:sz w:val="18"/>
              </w:rPr>
            </w:pPr>
            <w:r>
              <w:rPr>
                <w:sz w:val="18"/>
              </w:rPr>
              <w:t> </w:t>
            </w:r>
          </w:p>
        </w:tc>
        <w:tc>
          <w:tcPr>
            <w:tcW w:w="985" w:type="dxa"/>
          </w:tcPr>
          <w:p>
            <w:pPr>
              <w:pStyle w:val="TableParagraph"/>
              <w:spacing w:before="55"/>
              <w:ind w:left="23"/>
              <w:rPr>
                <w:sz w:val="18"/>
              </w:rPr>
            </w:pPr>
            <w:r>
              <w:rPr>
                <w:sz w:val="18"/>
              </w:rPr>
              <w:t> </w:t>
            </w:r>
          </w:p>
        </w:tc>
      </w:tr>
      <w:tr>
        <w:trPr>
          <w:trHeight w:val="340" w:hRule="atLeast"/>
        </w:trPr>
        <w:tc>
          <w:tcPr>
            <w:tcW w:w="989" w:type="dxa"/>
          </w:tcPr>
          <w:p>
            <w:pPr>
              <w:pStyle w:val="TableParagraph"/>
              <w:rPr>
                <w:sz w:val="18"/>
              </w:rPr>
            </w:pPr>
            <w:r>
              <w:rPr>
                <w:sz w:val="18"/>
              </w:rPr>
              <w:t> </w:t>
            </w:r>
          </w:p>
        </w:tc>
        <w:tc>
          <w:tcPr>
            <w:tcW w:w="850" w:type="dxa"/>
          </w:tcPr>
          <w:p>
            <w:pPr>
              <w:pStyle w:val="TableParagraph"/>
              <w:ind w:left="25"/>
              <w:rPr>
                <w:sz w:val="18"/>
              </w:rPr>
            </w:pPr>
            <w:r>
              <w:rPr>
                <w:sz w:val="18"/>
              </w:rPr>
              <w:t> </w:t>
            </w:r>
          </w:p>
        </w:tc>
        <w:tc>
          <w:tcPr>
            <w:tcW w:w="853" w:type="dxa"/>
          </w:tcPr>
          <w:p>
            <w:pPr>
              <w:pStyle w:val="TableParagraph"/>
              <w:ind w:left="25"/>
              <w:rPr>
                <w:sz w:val="18"/>
              </w:rPr>
            </w:pPr>
            <w:r>
              <w:rPr>
                <w:sz w:val="18"/>
              </w:rPr>
              <w:t> </w:t>
            </w:r>
          </w:p>
        </w:tc>
        <w:tc>
          <w:tcPr>
            <w:tcW w:w="850" w:type="dxa"/>
          </w:tcPr>
          <w:p>
            <w:pPr>
              <w:pStyle w:val="TableParagraph"/>
              <w:ind w:left="25"/>
              <w:rPr>
                <w:sz w:val="18"/>
              </w:rPr>
            </w:pPr>
            <w:r>
              <w:rPr>
                <w:sz w:val="18"/>
              </w:rPr>
              <w:t> </w:t>
            </w:r>
          </w:p>
        </w:tc>
        <w:tc>
          <w:tcPr>
            <w:tcW w:w="2410" w:type="dxa"/>
          </w:tcPr>
          <w:p>
            <w:pPr>
              <w:pStyle w:val="TableParagraph"/>
              <w:ind w:left="24"/>
              <w:rPr>
                <w:sz w:val="18"/>
              </w:rPr>
            </w:pPr>
            <w:r>
              <w:rPr>
                <w:sz w:val="18"/>
              </w:rPr>
              <w:t> </w:t>
            </w:r>
          </w:p>
        </w:tc>
        <w:tc>
          <w:tcPr>
            <w:tcW w:w="1133" w:type="dxa"/>
          </w:tcPr>
          <w:p>
            <w:pPr>
              <w:pStyle w:val="TableParagraph"/>
              <w:ind w:left="24"/>
              <w:rPr>
                <w:sz w:val="18"/>
              </w:rPr>
            </w:pPr>
            <w:r>
              <w:rPr>
                <w:sz w:val="18"/>
              </w:rPr>
              <w:t> </w:t>
            </w:r>
          </w:p>
        </w:tc>
        <w:tc>
          <w:tcPr>
            <w:tcW w:w="1278" w:type="dxa"/>
          </w:tcPr>
          <w:p>
            <w:pPr>
              <w:pStyle w:val="TableParagraph"/>
              <w:ind w:left="26"/>
              <w:rPr>
                <w:sz w:val="18"/>
              </w:rPr>
            </w:pPr>
            <w:r>
              <w:rPr>
                <w:sz w:val="18"/>
              </w:rPr>
              <w:t> </w:t>
            </w:r>
          </w:p>
        </w:tc>
        <w:tc>
          <w:tcPr>
            <w:tcW w:w="985" w:type="dxa"/>
          </w:tcPr>
          <w:p>
            <w:pPr>
              <w:pStyle w:val="TableParagraph"/>
              <w:ind w:left="23"/>
              <w:rPr>
                <w:sz w:val="18"/>
              </w:rPr>
            </w:pPr>
            <w:r>
              <w:rPr>
                <w:sz w:val="18"/>
              </w:rPr>
              <w:t> </w:t>
            </w:r>
          </w:p>
        </w:tc>
      </w:tr>
    </w:tbl>
    <w:p>
      <w:pPr>
        <w:spacing w:before="0"/>
        <w:ind w:left="1198" w:right="0" w:firstLine="0"/>
        <w:jc w:val="left"/>
        <w:rPr>
          <w:sz w:val="18"/>
        </w:rPr>
      </w:pPr>
      <w:r>
        <w:rPr>
          <w:sz w:val="18"/>
        </w:rPr>
        <w:t>制 表 人 ： 制 表 日 期 ： </w:t>
      </w:r>
    </w:p>
    <w:p>
      <w:pPr>
        <w:pStyle w:val="BodyText"/>
        <w:spacing w:before="3"/>
        <w:ind w:left="1258"/>
      </w:pPr>
      <w:r>
        <w:rPr>
          <w:w w:val="100"/>
        </w:rPr>
        <w:t> </w:t>
      </w:r>
    </w:p>
    <w:p>
      <w:pPr>
        <w:pStyle w:val="BodyText"/>
        <w:spacing w:before="5"/>
        <w:ind w:left="1258"/>
      </w:pPr>
      <w:r>
        <w:rPr>
          <w:w w:val="100"/>
        </w:rPr>
        <w:t> </w:t>
      </w:r>
    </w:p>
    <w:p>
      <w:pPr>
        <w:pStyle w:val="BodyText"/>
        <w:spacing w:before="2"/>
        <w:ind w:left="1278"/>
      </w:pPr>
      <w:r>
        <w:rPr/>
        <w:pict>
          <v:line style="position:absolute;mso-position-horizontal-relative:page;mso-position-vertical-relative:paragraph;z-index:251664384" from="184.300003pt,6.359988pt" to="396.850003pt,6.359988pt" stroked="true" strokeweight=".5pt" strokecolor="#000000">
            <v:stroke dashstyle="solid"/>
            <w10:wrap type="none"/>
          </v:line>
        </w:pict>
      </w:r>
      <w:r>
        <w:rPr>
          <w:w w:val="100"/>
        </w:rPr>
        <w:t> </w:t>
      </w:r>
    </w:p>
    <w:sectPr>
      <w:pgSz w:w="11910" w:h="16840"/>
      <w:pgMar w:header="1138" w:footer="1141" w:top="1320" w:bottom="134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 w:name="Calibri">
    <w:altName w:val="Calibri"/>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219971pt;margin-top:773.881592pt;width:6.5pt;height:11pt;mso-position-horizontal-relative:page;mso-position-vertical-relative:page;z-index:-253919232" type="#_x0000_t202" filled="false" stroked="false">
          <v:textbox inset="0,0,0,0">
            <w:txbxContent>
              <w:p>
                <w:pPr>
                  <w:spacing w:line="220" w:lineRule="exact" w:before="0"/>
                  <w:ind w:left="20" w:right="0" w:firstLine="0"/>
                  <w:jc w:val="left"/>
                  <w:rPr>
                    <w:rFonts w:ascii="黑体"/>
                    <w:sz w:val="18"/>
                  </w:rPr>
                </w:pPr>
                <w:r>
                  <w:rPr>
                    <w:rFonts w:ascii="黑体"/>
                    <w:sz w:val="18"/>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73.881592pt;width:11.15pt;height:11pt;mso-position-horizontal-relative:page;mso-position-vertical-relative:page;z-index:-253918208" type="#_x0000_t202" filled="false" stroked="false">
          <v:textbox inset="0,0,0,0">
            <w:txbxContent>
              <w:p>
                <w:pPr>
                  <w:spacing w:line="220" w:lineRule="exact" w:before="0"/>
                  <w:ind w:left="20" w:right="0" w:firstLine="0"/>
                  <w:jc w:val="left"/>
                  <w:rPr>
                    <w:rFonts w:ascii="黑体"/>
                    <w:sz w:val="18"/>
                  </w:rPr>
                </w:pPr>
                <w:r>
                  <w:rPr>
                    <w:rFonts w:ascii="黑体"/>
                    <w:sz w:val="18"/>
                  </w:rPr>
                  <w:t>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780029pt;margin-top:773.881592pt;width:13.15pt;height:11pt;mso-position-horizontal-relative:page;mso-position-vertical-relative:page;z-index:-253917184" type="#_x0000_t202" filled="false" stroked="false">
          <v:textbox inset="0,0,0,0">
            <w:txbxContent>
              <w:p>
                <w:pPr>
                  <w:spacing w:line="220" w:lineRule="exact" w:before="0"/>
                  <w:ind w:left="40" w:right="0" w:firstLine="0"/>
                  <w:jc w:val="left"/>
                  <w:rPr>
                    <w:rFonts w:ascii="黑体"/>
                    <w:sz w:val="18"/>
                  </w:rPr>
                </w:pPr>
                <w:r>
                  <w:rPr/>
                  <w:fldChar w:fldCharType="begin"/>
                </w:r>
                <w:r>
                  <w:rPr>
                    <w:rFonts w:ascii="黑体"/>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39999pt;margin-top:773.881592pt;width:13.15pt;height:11pt;mso-position-horizontal-relative:page;mso-position-vertical-relative:page;z-index:-253916160" type="#_x0000_t202" filled="false" stroked="false">
          <v:textbox inset="0,0,0,0">
            <w:txbxContent>
              <w:p>
                <w:pPr>
                  <w:spacing w:line="220" w:lineRule="exact" w:before="0"/>
                  <w:ind w:left="40" w:right="0" w:firstLine="0"/>
                  <w:jc w:val="left"/>
                  <w:rPr>
                    <w:rFonts w:ascii="黑体"/>
                    <w:sz w:val="18"/>
                  </w:rPr>
                </w:pPr>
                <w:r>
                  <w:rPr/>
                  <w:fldChar w:fldCharType="begin"/>
                </w:r>
                <w:r>
                  <w:rPr>
                    <w:rFonts w:ascii="黑体"/>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7.75pt;margin-top:56.905609pt;width:92.1pt;height:11pt;mso-position-horizontal-relative:page;mso-position-vertical-relative:page;z-index:-253921280" type="#_x0000_t202" filled="false" stroked="false">
          <v:textbox inset="0,0,0,0">
            <w:txbxContent>
              <w:p>
                <w:pPr>
                  <w:spacing w:line="220" w:lineRule="exact" w:before="0"/>
                  <w:ind w:left="20" w:right="0" w:firstLine="0"/>
                  <w:jc w:val="left"/>
                  <w:rPr>
                    <w:rFonts w:ascii="黑体"/>
                    <w:sz w:val="18"/>
                  </w:rPr>
                </w:pPr>
                <w:r>
                  <w:rPr>
                    <w:rFonts w:ascii="黑体"/>
                    <w:sz w:val="18"/>
                  </w:rPr>
                  <w:t>T/HPAESRCU 0016-2022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56.905609pt;width:92.1pt;height:11pt;mso-position-horizontal-relative:page;mso-position-vertical-relative:page;z-index:-253920256" type="#_x0000_t202" filled="false" stroked="false">
          <v:textbox inset="0,0,0,0">
            <w:txbxContent>
              <w:p>
                <w:pPr>
                  <w:spacing w:line="220" w:lineRule="exact" w:before="0"/>
                  <w:ind w:left="20" w:right="0" w:firstLine="0"/>
                  <w:jc w:val="left"/>
                  <w:rPr>
                    <w:rFonts w:ascii="黑体"/>
                    <w:sz w:val="18"/>
                  </w:rPr>
                </w:pPr>
                <w:r>
                  <w:rPr>
                    <w:rFonts w:ascii="黑体"/>
                    <w:sz w:val="18"/>
                  </w:rPr>
                  <w:t>T/HPAESRCU 0016-2022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3"/>
      <w:numFmt w:val="upperLetter"/>
      <w:lvlText w:val="%1"/>
      <w:lvlJc w:val="left"/>
      <w:pPr>
        <w:ind w:left="1364" w:hanging="526"/>
        <w:jc w:val="left"/>
      </w:pPr>
      <w:rPr>
        <w:rFonts w:hint="default"/>
        <w:lang w:val="en-US" w:eastAsia="en-US" w:bidi="en-US"/>
      </w:rPr>
    </w:lvl>
    <w:lvl w:ilvl="1">
      <w:start w:val="1"/>
      <w:numFmt w:val="decimal"/>
      <w:lvlText w:val="%1.%2"/>
      <w:lvlJc w:val="left"/>
      <w:pPr>
        <w:ind w:left="1364" w:hanging="526"/>
        <w:jc w:val="right"/>
      </w:pPr>
      <w:rPr>
        <w:rFonts w:hint="default" w:ascii="黑体" w:hAnsi="黑体" w:eastAsia="黑体" w:cs="黑体"/>
        <w:w w:val="100"/>
        <w:sz w:val="21"/>
        <w:szCs w:val="21"/>
        <w:lang w:val="en-US" w:eastAsia="en-US" w:bidi="en-US"/>
      </w:rPr>
    </w:lvl>
    <w:lvl w:ilvl="2">
      <w:start w:val="0"/>
      <w:numFmt w:val="bullet"/>
      <w:lvlText w:val="•"/>
      <w:lvlJc w:val="left"/>
      <w:pPr>
        <w:ind w:left="3237" w:hanging="526"/>
      </w:pPr>
      <w:rPr>
        <w:rFonts w:hint="default"/>
        <w:lang w:val="en-US" w:eastAsia="en-US" w:bidi="en-US"/>
      </w:rPr>
    </w:lvl>
    <w:lvl w:ilvl="3">
      <w:start w:val="0"/>
      <w:numFmt w:val="bullet"/>
      <w:lvlText w:val="•"/>
      <w:lvlJc w:val="left"/>
      <w:pPr>
        <w:ind w:left="4175" w:hanging="526"/>
      </w:pPr>
      <w:rPr>
        <w:rFonts w:hint="default"/>
        <w:lang w:val="en-US" w:eastAsia="en-US" w:bidi="en-US"/>
      </w:rPr>
    </w:lvl>
    <w:lvl w:ilvl="4">
      <w:start w:val="0"/>
      <w:numFmt w:val="bullet"/>
      <w:lvlText w:val="•"/>
      <w:lvlJc w:val="left"/>
      <w:pPr>
        <w:ind w:left="5114" w:hanging="526"/>
      </w:pPr>
      <w:rPr>
        <w:rFonts w:hint="default"/>
        <w:lang w:val="en-US" w:eastAsia="en-US" w:bidi="en-US"/>
      </w:rPr>
    </w:lvl>
    <w:lvl w:ilvl="5">
      <w:start w:val="0"/>
      <w:numFmt w:val="bullet"/>
      <w:lvlText w:val="•"/>
      <w:lvlJc w:val="left"/>
      <w:pPr>
        <w:ind w:left="6053" w:hanging="526"/>
      </w:pPr>
      <w:rPr>
        <w:rFonts w:hint="default"/>
        <w:lang w:val="en-US" w:eastAsia="en-US" w:bidi="en-US"/>
      </w:rPr>
    </w:lvl>
    <w:lvl w:ilvl="6">
      <w:start w:val="0"/>
      <w:numFmt w:val="bullet"/>
      <w:lvlText w:val="•"/>
      <w:lvlJc w:val="left"/>
      <w:pPr>
        <w:ind w:left="6991" w:hanging="526"/>
      </w:pPr>
      <w:rPr>
        <w:rFonts w:hint="default"/>
        <w:lang w:val="en-US" w:eastAsia="en-US" w:bidi="en-US"/>
      </w:rPr>
    </w:lvl>
    <w:lvl w:ilvl="7">
      <w:start w:val="0"/>
      <w:numFmt w:val="bullet"/>
      <w:lvlText w:val="•"/>
      <w:lvlJc w:val="left"/>
      <w:pPr>
        <w:ind w:left="7930" w:hanging="526"/>
      </w:pPr>
      <w:rPr>
        <w:rFonts w:hint="default"/>
        <w:lang w:val="en-US" w:eastAsia="en-US" w:bidi="en-US"/>
      </w:rPr>
    </w:lvl>
    <w:lvl w:ilvl="8">
      <w:start w:val="0"/>
      <w:numFmt w:val="bullet"/>
      <w:lvlText w:val="•"/>
      <w:lvlJc w:val="left"/>
      <w:pPr>
        <w:ind w:left="8869" w:hanging="526"/>
      </w:pPr>
      <w:rPr>
        <w:rFonts w:hint="default"/>
        <w:lang w:val="en-US" w:eastAsia="en-US" w:bidi="en-US"/>
      </w:rPr>
    </w:lvl>
  </w:abstractNum>
  <w:abstractNum w:abstractNumId="18">
    <w:multiLevelType w:val="hybridMultilevel"/>
    <w:lvl w:ilvl="0">
      <w:start w:val="2"/>
      <w:numFmt w:val="upperLetter"/>
      <w:lvlText w:val="%1"/>
      <w:lvlJc w:val="left"/>
      <w:pPr>
        <w:ind w:left="1290" w:hanging="738"/>
        <w:jc w:val="left"/>
      </w:pPr>
      <w:rPr>
        <w:rFonts w:hint="default"/>
        <w:lang w:val="en-US" w:eastAsia="en-US" w:bidi="en-US"/>
      </w:rPr>
    </w:lvl>
    <w:lvl w:ilvl="1">
      <w:start w:val="5"/>
      <w:numFmt w:val="decimal"/>
      <w:lvlText w:val="%1.%2"/>
      <w:lvlJc w:val="left"/>
      <w:pPr>
        <w:ind w:left="1290" w:hanging="738"/>
        <w:jc w:val="left"/>
      </w:pPr>
      <w:rPr>
        <w:rFonts w:hint="default"/>
        <w:lang w:val="en-US" w:eastAsia="en-US" w:bidi="en-US"/>
      </w:rPr>
    </w:lvl>
    <w:lvl w:ilvl="2">
      <w:start w:val="1"/>
      <w:numFmt w:val="decimal"/>
      <w:lvlText w:val="%1.%2.%3"/>
      <w:lvlJc w:val="left"/>
      <w:pPr>
        <w:ind w:left="1290" w:hanging="738"/>
        <w:jc w:val="left"/>
      </w:pPr>
      <w:rPr>
        <w:rFonts w:hint="default" w:ascii="黑体" w:hAnsi="黑体" w:eastAsia="黑体" w:cs="黑体"/>
        <w:w w:val="100"/>
        <w:sz w:val="21"/>
        <w:szCs w:val="21"/>
        <w:lang w:val="en-US" w:eastAsia="en-US" w:bidi="en-US"/>
      </w:rPr>
    </w:lvl>
    <w:lvl w:ilvl="3">
      <w:start w:val="1"/>
      <w:numFmt w:val="lowerLetter"/>
      <w:lvlText w:val="%4）"/>
      <w:lvlJc w:val="left"/>
      <w:pPr>
        <w:ind w:left="1412" w:hanging="318"/>
        <w:jc w:val="left"/>
      </w:pPr>
      <w:rPr>
        <w:rFonts w:hint="default" w:ascii="宋体" w:hAnsi="宋体" w:eastAsia="宋体" w:cs="宋体"/>
        <w:spacing w:val="-3"/>
        <w:w w:val="100"/>
        <w:sz w:val="19"/>
        <w:szCs w:val="19"/>
        <w:lang w:val="en-US" w:eastAsia="en-US" w:bidi="en-US"/>
      </w:rPr>
    </w:lvl>
    <w:lvl w:ilvl="4">
      <w:start w:val="0"/>
      <w:numFmt w:val="bullet"/>
      <w:lvlText w:val="•"/>
      <w:lvlJc w:val="left"/>
      <w:pPr>
        <w:ind w:left="4528" w:hanging="318"/>
      </w:pPr>
      <w:rPr>
        <w:rFonts w:hint="default"/>
        <w:lang w:val="en-US" w:eastAsia="en-US" w:bidi="en-US"/>
      </w:rPr>
    </w:lvl>
    <w:lvl w:ilvl="5">
      <w:start w:val="0"/>
      <w:numFmt w:val="bullet"/>
      <w:lvlText w:val="•"/>
      <w:lvlJc w:val="left"/>
      <w:pPr>
        <w:ind w:left="5565" w:hanging="318"/>
      </w:pPr>
      <w:rPr>
        <w:rFonts w:hint="default"/>
        <w:lang w:val="en-US" w:eastAsia="en-US" w:bidi="en-US"/>
      </w:rPr>
    </w:lvl>
    <w:lvl w:ilvl="6">
      <w:start w:val="0"/>
      <w:numFmt w:val="bullet"/>
      <w:lvlText w:val="•"/>
      <w:lvlJc w:val="left"/>
      <w:pPr>
        <w:ind w:left="6601" w:hanging="318"/>
      </w:pPr>
      <w:rPr>
        <w:rFonts w:hint="default"/>
        <w:lang w:val="en-US" w:eastAsia="en-US" w:bidi="en-US"/>
      </w:rPr>
    </w:lvl>
    <w:lvl w:ilvl="7">
      <w:start w:val="0"/>
      <w:numFmt w:val="bullet"/>
      <w:lvlText w:val="•"/>
      <w:lvlJc w:val="left"/>
      <w:pPr>
        <w:ind w:left="7637" w:hanging="318"/>
      </w:pPr>
      <w:rPr>
        <w:rFonts w:hint="default"/>
        <w:lang w:val="en-US" w:eastAsia="en-US" w:bidi="en-US"/>
      </w:rPr>
    </w:lvl>
    <w:lvl w:ilvl="8">
      <w:start w:val="0"/>
      <w:numFmt w:val="bullet"/>
      <w:lvlText w:val="•"/>
      <w:lvlJc w:val="left"/>
      <w:pPr>
        <w:ind w:left="8673" w:hanging="318"/>
      </w:pPr>
      <w:rPr>
        <w:rFonts w:hint="default"/>
        <w:lang w:val="en-US" w:eastAsia="en-US" w:bidi="en-US"/>
      </w:rPr>
    </w:lvl>
  </w:abstractNum>
  <w:abstractNum w:abstractNumId="17">
    <w:multiLevelType w:val="hybridMultilevel"/>
    <w:lvl w:ilvl="0">
      <w:start w:val="2"/>
      <w:numFmt w:val="upperLetter"/>
      <w:lvlText w:val="%1"/>
      <w:lvlJc w:val="left"/>
      <w:pPr>
        <w:ind w:left="1575" w:hanging="737"/>
        <w:jc w:val="left"/>
      </w:pPr>
      <w:rPr>
        <w:rFonts w:hint="default"/>
        <w:lang w:val="en-US" w:eastAsia="en-US" w:bidi="en-US"/>
      </w:rPr>
    </w:lvl>
    <w:lvl w:ilvl="1">
      <w:start w:val="4"/>
      <w:numFmt w:val="decimal"/>
      <w:lvlText w:val="%1.%2"/>
      <w:lvlJc w:val="left"/>
      <w:pPr>
        <w:ind w:left="1575" w:hanging="737"/>
        <w:jc w:val="left"/>
      </w:pPr>
      <w:rPr>
        <w:rFonts w:hint="default"/>
        <w:lang w:val="en-US" w:eastAsia="en-US" w:bidi="en-US"/>
      </w:rPr>
    </w:lvl>
    <w:lvl w:ilvl="2">
      <w:start w:val="1"/>
      <w:numFmt w:val="decimal"/>
      <w:lvlText w:val="%1.%2.%3"/>
      <w:lvlJc w:val="left"/>
      <w:pPr>
        <w:ind w:left="1575" w:hanging="737"/>
        <w:jc w:val="right"/>
      </w:pPr>
      <w:rPr>
        <w:rFonts w:hint="default" w:ascii="黑体" w:hAnsi="黑体" w:eastAsia="黑体" w:cs="黑体"/>
        <w:w w:val="100"/>
        <w:sz w:val="21"/>
        <w:szCs w:val="21"/>
        <w:lang w:val="en-US" w:eastAsia="en-US" w:bidi="en-US"/>
      </w:rPr>
    </w:lvl>
    <w:lvl w:ilvl="3">
      <w:start w:val="0"/>
      <w:numFmt w:val="bullet"/>
      <w:lvlText w:val="•"/>
      <w:lvlJc w:val="left"/>
      <w:pPr>
        <w:ind w:left="4329" w:hanging="737"/>
      </w:pPr>
      <w:rPr>
        <w:rFonts w:hint="default"/>
        <w:lang w:val="en-US" w:eastAsia="en-US" w:bidi="en-US"/>
      </w:rPr>
    </w:lvl>
    <w:lvl w:ilvl="4">
      <w:start w:val="0"/>
      <w:numFmt w:val="bullet"/>
      <w:lvlText w:val="•"/>
      <w:lvlJc w:val="left"/>
      <w:pPr>
        <w:ind w:left="5246" w:hanging="737"/>
      </w:pPr>
      <w:rPr>
        <w:rFonts w:hint="default"/>
        <w:lang w:val="en-US" w:eastAsia="en-US" w:bidi="en-US"/>
      </w:rPr>
    </w:lvl>
    <w:lvl w:ilvl="5">
      <w:start w:val="0"/>
      <w:numFmt w:val="bullet"/>
      <w:lvlText w:val="•"/>
      <w:lvlJc w:val="left"/>
      <w:pPr>
        <w:ind w:left="6163" w:hanging="737"/>
      </w:pPr>
      <w:rPr>
        <w:rFonts w:hint="default"/>
        <w:lang w:val="en-US" w:eastAsia="en-US" w:bidi="en-US"/>
      </w:rPr>
    </w:lvl>
    <w:lvl w:ilvl="6">
      <w:start w:val="0"/>
      <w:numFmt w:val="bullet"/>
      <w:lvlText w:val="•"/>
      <w:lvlJc w:val="left"/>
      <w:pPr>
        <w:ind w:left="7079" w:hanging="737"/>
      </w:pPr>
      <w:rPr>
        <w:rFonts w:hint="default"/>
        <w:lang w:val="en-US" w:eastAsia="en-US" w:bidi="en-US"/>
      </w:rPr>
    </w:lvl>
    <w:lvl w:ilvl="7">
      <w:start w:val="0"/>
      <w:numFmt w:val="bullet"/>
      <w:lvlText w:val="•"/>
      <w:lvlJc w:val="left"/>
      <w:pPr>
        <w:ind w:left="7996" w:hanging="737"/>
      </w:pPr>
      <w:rPr>
        <w:rFonts w:hint="default"/>
        <w:lang w:val="en-US" w:eastAsia="en-US" w:bidi="en-US"/>
      </w:rPr>
    </w:lvl>
    <w:lvl w:ilvl="8">
      <w:start w:val="0"/>
      <w:numFmt w:val="bullet"/>
      <w:lvlText w:val="•"/>
      <w:lvlJc w:val="left"/>
      <w:pPr>
        <w:ind w:left="8913" w:hanging="737"/>
      </w:pPr>
      <w:rPr>
        <w:rFonts w:hint="default"/>
        <w:lang w:val="en-US" w:eastAsia="en-US" w:bidi="en-US"/>
      </w:rPr>
    </w:lvl>
  </w:abstractNum>
  <w:abstractNum w:abstractNumId="16">
    <w:multiLevelType w:val="hybridMultilevel"/>
    <w:lvl w:ilvl="0">
      <w:start w:val="2"/>
      <w:numFmt w:val="upperLetter"/>
      <w:lvlText w:val="%1"/>
      <w:lvlJc w:val="left"/>
      <w:pPr>
        <w:ind w:left="1784" w:hanging="946"/>
        <w:jc w:val="left"/>
      </w:pPr>
      <w:rPr>
        <w:rFonts w:hint="default"/>
        <w:lang w:val="en-US" w:eastAsia="en-US" w:bidi="en-US"/>
      </w:rPr>
    </w:lvl>
    <w:lvl w:ilvl="1">
      <w:start w:val="3"/>
      <w:numFmt w:val="decimal"/>
      <w:lvlText w:val="%1.%2"/>
      <w:lvlJc w:val="left"/>
      <w:pPr>
        <w:ind w:left="1784" w:hanging="946"/>
        <w:jc w:val="left"/>
      </w:pPr>
      <w:rPr>
        <w:rFonts w:hint="default"/>
        <w:lang w:val="en-US" w:eastAsia="en-US" w:bidi="en-US"/>
      </w:rPr>
    </w:lvl>
    <w:lvl w:ilvl="2">
      <w:start w:val="5"/>
      <w:numFmt w:val="decimal"/>
      <w:lvlText w:val="%1.%2.%3"/>
      <w:lvlJc w:val="left"/>
      <w:pPr>
        <w:ind w:left="1784" w:hanging="946"/>
        <w:jc w:val="left"/>
      </w:pPr>
      <w:rPr>
        <w:rFonts w:hint="default"/>
        <w:lang w:val="en-US" w:eastAsia="en-US" w:bidi="en-US"/>
      </w:rPr>
    </w:lvl>
    <w:lvl w:ilvl="3">
      <w:start w:val="1"/>
      <w:numFmt w:val="decimal"/>
      <w:lvlText w:val="%1.%2.%3.%4"/>
      <w:lvlJc w:val="left"/>
      <w:pPr>
        <w:ind w:left="1784" w:hanging="946"/>
        <w:jc w:val="left"/>
      </w:pPr>
      <w:rPr>
        <w:rFonts w:hint="default" w:ascii="黑体" w:hAnsi="黑体" w:eastAsia="黑体" w:cs="黑体"/>
        <w:spacing w:val="-3"/>
        <w:w w:val="100"/>
        <w:sz w:val="21"/>
        <w:szCs w:val="21"/>
        <w:lang w:val="en-US" w:eastAsia="en-US" w:bidi="en-US"/>
      </w:rPr>
    </w:lvl>
    <w:lvl w:ilvl="4">
      <w:start w:val="1"/>
      <w:numFmt w:val="lowerLetter"/>
      <w:lvlText w:val="%5）"/>
      <w:lvlJc w:val="left"/>
      <w:pPr>
        <w:ind w:left="1698" w:hanging="318"/>
        <w:jc w:val="left"/>
      </w:pPr>
      <w:rPr>
        <w:rFonts w:hint="default" w:ascii="宋体" w:hAnsi="宋体" w:eastAsia="宋体" w:cs="宋体"/>
        <w:spacing w:val="-3"/>
        <w:w w:val="100"/>
        <w:sz w:val="19"/>
        <w:szCs w:val="19"/>
        <w:lang w:val="en-US" w:eastAsia="en-US" w:bidi="en-US"/>
      </w:rPr>
    </w:lvl>
    <w:lvl w:ilvl="5">
      <w:start w:val="0"/>
      <w:numFmt w:val="bullet"/>
      <w:lvlText w:val="•"/>
      <w:lvlJc w:val="left"/>
      <w:pPr>
        <w:ind w:left="5765" w:hanging="318"/>
      </w:pPr>
      <w:rPr>
        <w:rFonts w:hint="default"/>
        <w:lang w:val="en-US" w:eastAsia="en-US" w:bidi="en-US"/>
      </w:rPr>
    </w:lvl>
    <w:lvl w:ilvl="6">
      <w:start w:val="0"/>
      <w:numFmt w:val="bullet"/>
      <w:lvlText w:val="•"/>
      <w:lvlJc w:val="left"/>
      <w:pPr>
        <w:ind w:left="6761" w:hanging="318"/>
      </w:pPr>
      <w:rPr>
        <w:rFonts w:hint="default"/>
        <w:lang w:val="en-US" w:eastAsia="en-US" w:bidi="en-US"/>
      </w:rPr>
    </w:lvl>
    <w:lvl w:ilvl="7">
      <w:start w:val="0"/>
      <w:numFmt w:val="bullet"/>
      <w:lvlText w:val="•"/>
      <w:lvlJc w:val="left"/>
      <w:pPr>
        <w:ind w:left="7757" w:hanging="318"/>
      </w:pPr>
      <w:rPr>
        <w:rFonts w:hint="default"/>
        <w:lang w:val="en-US" w:eastAsia="en-US" w:bidi="en-US"/>
      </w:rPr>
    </w:lvl>
    <w:lvl w:ilvl="8">
      <w:start w:val="0"/>
      <w:numFmt w:val="bullet"/>
      <w:lvlText w:val="•"/>
      <w:lvlJc w:val="left"/>
      <w:pPr>
        <w:ind w:left="8753" w:hanging="318"/>
      </w:pPr>
      <w:rPr>
        <w:rFonts w:hint="default"/>
        <w:lang w:val="en-US" w:eastAsia="en-US" w:bidi="en-US"/>
      </w:rPr>
    </w:lvl>
  </w:abstractNum>
  <w:abstractNum w:abstractNumId="15">
    <w:multiLevelType w:val="hybridMultilevel"/>
    <w:lvl w:ilvl="0">
      <w:start w:val="1"/>
      <w:numFmt w:val="lowerLetter"/>
      <w:lvlText w:val="%1）"/>
      <w:lvlJc w:val="left"/>
      <w:pPr>
        <w:ind w:left="1310"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262" w:hanging="318"/>
      </w:pPr>
      <w:rPr>
        <w:rFonts w:hint="default"/>
        <w:lang w:val="en-US" w:eastAsia="en-US" w:bidi="en-US"/>
      </w:rPr>
    </w:lvl>
    <w:lvl w:ilvl="2">
      <w:start w:val="0"/>
      <w:numFmt w:val="bullet"/>
      <w:lvlText w:val="•"/>
      <w:lvlJc w:val="left"/>
      <w:pPr>
        <w:ind w:left="3205" w:hanging="318"/>
      </w:pPr>
      <w:rPr>
        <w:rFonts w:hint="default"/>
        <w:lang w:val="en-US" w:eastAsia="en-US" w:bidi="en-US"/>
      </w:rPr>
    </w:lvl>
    <w:lvl w:ilvl="3">
      <w:start w:val="0"/>
      <w:numFmt w:val="bullet"/>
      <w:lvlText w:val="•"/>
      <w:lvlJc w:val="left"/>
      <w:pPr>
        <w:ind w:left="4147" w:hanging="318"/>
      </w:pPr>
      <w:rPr>
        <w:rFonts w:hint="default"/>
        <w:lang w:val="en-US" w:eastAsia="en-US" w:bidi="en-US"/>
      </w:rPr>
    </w:lvl>
    <w:lvl w:ilvl="4">
      <w:start w:val="0"/>
      <w:numFmt w:val="bullet"/>
      <w:lvlText w:val="•"/>
      <w:lvlJc w:val="left"/>
      <w:pPr>
        <w:ind w:left="5090" w:hanging="318"/>
      </w:pPr>
      <w:rPr>
        <w:rFonts w:hint="default"/>
        <w:lang w:val="en-US" w:eastAsia="en-US" w:bidi="en-US"/>
      </w:rPr>
    </w:lvl>
    <w:lvl w:ilvl="5">
      <w:start w:val="0"/>
      <w:numFmt w:val="bullet"/>
      <w:lvlText w:val="•"/>
      <w:lvlJc w:val="left"/>
      <w:pPr>
        <w:ind w:left="6033" w:hanging="318"/>
      </w:pPr>
      <w:rPr>
        <w:rFonts w:hint="default"/>
        <w:lang w:val="en-US" w:eastAsia="en-US" w:bidi="en-US"/>
      </w:rPr>
    </w:lvl>
    <w:lvl w:ilvl="6">
      <w:start w:val="0"/>
      <w:numFmt w:val="bullet"/>
      <w:lvlText w:val="•"/>
      <w:lvlJc w:val="left"/>
      <w:pPr>
        <w:ind w:left="6975" w:hanging="318"/>
      </w:pPr>
      <w:rPr>
        <w:rFonts w:hint="default"/>
        <w:lang w:val="en-US" w:eastAsia="en-US" w:bidi="en-US"/>
      </w:rPr>
    </w:lvl>
    <w:lvl w:ilvl="7">
      <w:start w:val="0"/>
      <w:numFmt w:val="bullet"/>
      <w:lvlText w:val="•"/>
      <w:lvlJc w:val="left"/>
      <w:pPr>
        <w:ind w:left="7918" w:hanging="318"/>
      </w:pPr>
      <w:rPr>
        <w:rFonts w:hint="default"/>
        <w:lang w:val="en-US" w:eastAsia="en-US" w:bidi="en-US"/>
      </w:rPr>
    </w:lvl>
    <w:lvl w:ilvl="8">
      <w:start w:val="0"/>
      <w:numFmt w:val="bullet"/>
      <w:lvlText w:val="•"/>
      <w:lvlJc w:val="left"/>
      <w:pPr>
        <w:ind w:left="8861" w:hanging="318"/>
      </w:pPr>
      <w:rPr>
        <w:rFonts w:hint="default"/>
        <w:lang w:val="en-US" w:eastAsia="en-US" w:bidi="en-US"/>
      </w:rPr>
    </w:lvl>
  </w:abstractNum>
  <w:abstractNum w:abstractNumId="14">
    <w:multiLevelType w:val="hybridMultilevel"/>
    <w:lvl w:ilvl="0">
      <w:start w:val="3"/>
      <w:numFmt w:val="lowerLetter"/>
      <w:lvlText w:val="%1）"/>
      <w:lvlJc w:val="left"/>
      <w:pPr>
        <w:ind w:left="1412"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352" w:hanging="318"/>
      </w:pPr>
      <w:rPr>
        <w:rFonts w:hint="default"/>
        <w:lang w:val="en-US" w:eastAsia="en-US" w:bidi="en-US"/>
      </w:rPr>
    </w:lvl>
    <w:lvl w:ilvl="2">
      <w:start w:val="0"/>
      <w:numFmt w:val="bullet"/>
      <w:lvlText w:val="•"/>
      <w:lvlJc w:val="left"/>
      <w:pPr>
        <w:ind w:left="3285" w:hanging="318"/>
      </w:pPr>
      <w:rPr>
        <w:rFonts w:hint="default"/>
        <w:lang w:val="en-US" w:eastAsia="en-US" w:bidi="en-US"/>
      </w:rPr>
    </w:lvl>
    <w:lvl w:ilvl="3">
      <w:start w:val="0"/>
      <w:numFmt w:val="bullet"/>
      <w:lvlText w:val="•"/>
      <w:lvlJc w:val="left"/>
      <w:pPr>
        <w:ind w:left="4217" w:hanging="318"/>
      </w:pPr>
      <w:rPr>
        <w:rFonts w:hint="default"/>
        <w:lang w:val="en-US" w:eastAsia="en-US" w:bidi="en-US"/>
      </w:rPr>
    </w:lvl>
    <w:lvl w:ilvl="4">
      <w:start w:val="0"/>
      <w:numFmt w:val="bullet"/>
      <w:lvlText w:val="•"/>
      <w:lvlJc w:val="left"/>
      <w:pPr>
        <w:ind w:left="5150" w:hanging="318"/>
      </w:pPr>
      <w:rPr>
        <w:rFonts w:hint="default"/>
        <w:lang w:val="en-US" w:eastAsia="en-US" w:bidi="en-US"/>
      </w:rPr>
    </w:lvl>
    <w:lvl w:ilvl="5">
      <w:start w:val="0"/>
      <w:numFmt w:val="bullet"/>
      <w:lvlText w:val="•"/>
      <w:lvlJc w:val="left"/>
      <w:pPr>
        <w:ind w:left="6083" w:hanging="318"/>
      </w:pPr>
      <w:rPr>
        <w:rFonts w:hint="default"/>
        <w:lang w:val="en-US" w:eastAsia="en-US" w:bidi="en-US"/>
      </w:rPr>
    </w:lvl>
    <w:lvl w:ilvl="6">
      <w:start w:val="0"/>
      <w:numFmt w:val="bullet"/>
      <w:lvlText w:val="•"/>
      <w:lvlJc w:val="left"/>
      <w:pPr>
        <w:ind w:left="7015" w:hanging="318"/>
      </w:pPr>
      <w:rPr>
        <w:rFonts w:hint="default"/>
        <w:lang w:val="en-US" w:eastAsia="en-US" w:bidi="en-US"/>
      </w:rPr>
    </w:lvl>
    <w:lvl w:ilvl="7">
      <w:start w:val="0"/>
      <w:numFmt w:val="bullet"/>
      <w:lvlText w:val="•"/>
      <w:lvlJc w:val="left"/>
      <w:pPr>
        <w:ind w:left="7948" w:hanging="318"/>
      </w:pPr>
      <w:rPr>
        <w:rFonts w:hint="default"/>
        <w:lang w:val="en-US" w:eastAsia="en-US" w:bidi="en-US"/>
      </w:rPr>
    </w:lvl>
    <w:lvl w:ilvl="8">
      <w:start w:val="0"/>
      <w:numFmt w:val="bullet"/>
      <w:lvlText w:val="•"/>
      <w:lvlJc w:val="left"/>
      <w:pPr>
        <w:ind w:left="8881" w:hanging="318"/>
      </w:pPr>
      <w:rPr>
        <w:rFonts w:hint="default"/>
        <w:lang w:val="en-US" w:eastAsia="en-US" w:bidi="en-US"/>
      </w:rPr>
    </w:lvl>
  </w:abstractNum>
  <w:abstractNum w:abstractNumId="13">
    <w:multiLevelType w:val="hybridMultilevel"/>
    <w:lvl w:ilvl="0">
      <w:start w:val="5"/>
      <w:numFmt w:val="lowerLetter"/>
      <w:lvlText w:val="%1）"/>
      <w:lvlJc w:val="left"/>
      <w:pPr>
        <w:ind w:left="157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496" w:hanging="318"/>
      </w:pPr>
      <w:rPr>
        <w:rFonts w:hint="default"/>
        <w:lang w:val="en-US" w:eastAsia="en-US" w:bidi="en-US"/>
      </w:rPr>
    </w:lvl>
    <w:lvl w:ilvl="2">
      <w:start w:val="0"/>
      <w:numFmt w:val="bullet"/>
      <w:lvlText w:val="•"/>
      <w:lvlJc w:val="left"/>
      <w:pPr>
        <w:ind w:left="3413" w:hanging="318"/>
      </w:pPr>
      <w:rPr>
        <w:rFonts w:hint="default"/>
        <w:lang w:val="en-US" w:eastAsia="en-US" w:bidi="en-US"/>
      </w:rPr>
    </w:lvl>
    <w:lvl w:ilvl="3">
      <w:start w:val="0"/>
      <w:numFmt w:val="bullet"/>
      <w:lvlText w:val="•"/>
      <w:lvlJc w:val="left"/>
      <w:pPr>
        <w:ind w:left="4329" w:hanging="318"/>
      </w:pPr>
      <w:rPr>
        <w:rFonts w:hint="default"/>
        <w:lang w:val="en-US" w:eastAsia="en-US" w:bidi="en-US"/>
      </w:rPr>
    </w:lvl>
    <w:lvl w:ilvl="4">
      <w:start w:val="0"/>
      <w:numFmt w:val="bullet"/>
      <w:lvlText w:val="•"/>
      <w:lvlJc w:val="left"/>
      <w:pPr>
        <w:ind w:left="5246" w:hanging="318"/>
      </w:pPr>
      <w:rPr>
        <w:rFonts w:hint="default"/>
        <w:lang w:val="en-US" w:eastAsia="en-US" w:bidi="en-US"/>
      </w:rPr>
    </w:lvl>
    <w:lvl w:ilvl="5">
      <w:start w:val="0"/>
      <w:numFmt w:val="bullet"/>
      <w:lvlText w:val="•"/>
      <w:lvlJc w:val="left"/>
      <w:pPr>
        <w:ind w:left="6163" w:hanging="318"/>
      </w:pPr>
      <w:rPr>
        <w:rFonts w:hint="default"/>
        <w:lang w:val="en-US" w:eastAsia="en-US" w:bidi="en-US"/>
      </w:rPr>
    </w:lvl>
    <w:lvl w:ilvl="6">
      <w:start w:val="0"/>
      <w:numFmt w:val="bullet"/>
      <w:lvlText w:val="•"/>
      <w:lvlJc w:val="left"/>
      <w:pPr>
        <w:ind w:left="7079" w:hanging="318"/>
      </w:pPr>
      <w:rPr>
        <w:rFonts w:hint="default"/>
        <w:lang w:val="en-US" w:eastAsia="en-US" w:bidi="en-US"/>
      </w:rPr>
    </w:lvl>
    <w:lvl w:ilvl="7">
      <w:start w:val="0"/>
      <w:numFmt w:val="bullet"/>
      <w:lvlText w:val="•"/>
      <w:lvlJc w:val="left"/>
      <w:pPr>
        <w:ind w:left="7996" w:hanging="318"/>
      </w:pPr>
      <w:rPr>
        <w:rFonts w:hint="default"/>
        <w:lang w:val="en-US" w:eastAsia="en-US" w:bidi="en-US"/>
      </w:rPr>
    </w:lvl>
    <w:lvl w:ilvl="8">
      <w:start w:val="0"/>
      <w:numFmt w:val="bullet"/>
      <w:lvlText w:val="•"/>
      <w:lvlJc w:val="left"/>
      <w:pPr>
        <w:ind w:left="8913" w:hanging="318"/>
      </w:pPr>
      <w:rPr>
        <w:rFonts w:hint="default"/>
        <w:lang w:val="en-US" w:eastAsia="en-US" w:bidi="en-US"/>
      </w:rPr>
    </w:lvl>
  </w:abstractNum>
  <w:abstractNum w:abstractNumId="12">
    <w:multiLevelType w:val="hybridMultilevel"/>
    <w:lvl w:ilvl="0">
      <w:start w:val="2"/>
      <w:numFmt w:val="lowerLetter"/>
      <w:lvlText w:val="%1）"/>
      <w:lvlJc w:val="left"/>
      <w:pPr>
        <w:ind w:left="157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496" w:hanging="318"/>
      </w:pPr>
      <w:rPr>
        <w:rFonts w:hint="default"/>
        <w:lang w:val="en-US" w:eastAsia="en-US" w:bidi="en-US"/>
      </w:rPr>
    </w:lvl>
    <w:lvl w:ilvl="2">
      <w:start w:val="0"/>
      <w:numFmt w:val="bullet"/>
      <w:lvlText w:val="•"/>
      <w:lvlJc w:val="left"/>
      <w:pPr>
        <w:ind w:left="3413" w:hanging="318"/>
      </w:pPr>
      <w:rPr>
        <w:rFonts w:hint="default"/>
        <w:lang w:val="en-US" w:eastAsia="en-US" w:bidi="en-US"/>
      </w:rPr>
    </w:lvl>
    <w:lvl w:ilvl="3">
      <w:start w:val="0"/>
      <w:numFmt w:val="bullet"/>
      <w:lvlText w:val="•"/>
      <w:lvlJc w:val="left"/>
      <w:pPr>
        <w:ind w:left="4329" w:hanging="318"/>
      </w:pPr>
      <w:rPr>
        <w:rFonts w:hint="default"/>
        <w:lang w:val="en-US" w:eastAsia="en-US" w:bidi="en-US"/>
      </w:rPr>
    </w:lvl>
    <w:lvl w:ilvl="4">
      <w:start w:val="0"/>
      <w:numFmt w:val="bullet"/>
      <w:lvlText w:val="•"/>
      <w:lvlJc w:val="left"/>
      <w:pPr>
        <w:ind w:left="5246" w:hanging="318"/>
      </w:pPr>
      <w:rPr>
        <w:rFonts w:hint="default"/>
        <w:lang w:val="en-US" w:eastAsia="en-US" w:bidi="en-US"/>
      </w:rPr>
    </w:lvl>
    <w:lvl w:ilvl="5">
      <w:start w:val="0"/>
      <w:numFmt w:val="bullet"/>
      <w:lvlText w:val="•"/>
      <w:lvlJc w:val="left"/>
      <w:pPr>
        <w:ind w:left="6163" w:hanging="318"/>
      </w:pPr>
      <w:rPr>
        <w:rFonts w:hint="default"/>
        <w:lang w:val="en-US" w:eastAsia="en-US" w:bidi="en-US"/>
      </w:rPr>
    </w:lvl>
    <w:lvl w:ilvl="6">
      <w:start w:val="0"/>
      <w:numFmt w:val="bullet"/>
      <w:lvlText w:val="•"/>
      <w:lvlJc w:val="left"/>
      <w:pPr>
        <w:ind w:left="7079" w:hanging="318"/>
      </w:pPr>
      <w:rPr>
        <w:rFonts w:hint="default"/>
        <w:lang w:val="en-US" w:eastAsia="en-US" w:bidi="en-US"/>
      </w:rPr>
    </w:lvl>
    <w:lvl w:ilvl="7">
      <w:start w:val="0"/>
      <w:numFmt w:val="bullet"/>
      <w:lvlText w:val="•"/>
      <w:lvlJc w:val="left"/>
      <w:pPr>
        <w:ind w:left="7996" w:hanging="318"/>
      </w:pPr>
      <w:rPr>
        <w:rFonts w:hint="default"/>
        <w:lang w:val="en-US" w:eastAsia="en-US" w:bidi="en-US"/>
      </w:rPr>
    </w:lvl>
    <w:lvl w:ilvl="8">
      <w:start w:val="0"/>
      <w:numFmt w:val="bullet"/>
      <w:lvlText w:val="•"/>
      <w:lvlJc w:val="left"/>
      <w:pPr>
        <w:ind w:left="8913" w:hanging="318"/>
      </w:pPr>
      <w:rPr>
        <w:rFonts w:hint="default"/>
        <w:lang w:val="en-US" w:eastAsia="en-US" w:bidi="en-US"/>
      </w:rPr>
    </w:lvl>
  </w:abstractNum>
  <w:abstractNum w:abstractNumId="11">
    <w:multiLevelType w:val="hybridMultilevel"/>
    <w:lvl w:ilvl="0">
      <w:start w:val="2"/>
      <w:numFmt w:val="upperLetter"/>
      <w:lvlText w:val="%1"/>
      <w:lvlJc w:val="left"/>
      <w:pPr>
        <w:ind w:left="1784" w:hanging="946"/>
        <w:jc w:val="left"/>
      </w:pPr>
      <w:rPr>
        <w:rFonts w:hint="default"/>
        <w:lang w:val="en-US" w:eastAsia="en-US" w:bidi="en-US"/>
      </w:rPr>
    </w:lvl>
    <w:lvl w:ilvl="1">
      <w:start w:val="3"/>
      <w:numFmt w:val="decimal"/>
      <w:lvlText w:val="%1.%2"/>
      <w:lvlJc w:val="left"/>
      <w:pPr>
        <w:ind w:left="1784" w:hanging="946"/>
        <w:jc w:val="left"/>
      </w:pPr>
      <w:rPr>
        <w:rFonts w:hint="default"/>
        <w:lang w:val="en-US" w:eastAsia="en-US" w:bidi="en-US"/>
      </w:rPr>
    </w:lvl>
    <w:lvl w:ilvl="2">
      <w:start w:val="2"/>
      <w:numFmt w:val="decimal"/>
      <w:lvlText w:val="%1.%2.%3"/>
      <w:lvlJc w:val="left"/>
      <w:pPr>
        <w:ind w:left="1784" w:hanging="946"/>
        <w:jc w:val="left"/>
      </w:pPr>
      <w:rPr>
        <w:rFonts w:hint="default"/>
        <w:lang w:val="en-US" w:eastAsia="en-US" w:bidi="en-US"/>
      </w:rPr>
    </w:lvl>
    <w:lvl w:ilvl="3">
      <w:start w:val="1"/>
      <w:numFmt w:val="decimal"/>
      <w:lvlText w:val="%1.%2.%3.%4"/>
      <w:lvlJc w:val="left"/>
      <w:pPr>
        <w:ind w:left="1784" w:hanging="946"/>
        <w:jc w:val="right"/>
      </w:pPr>
      <w:rPr>
        <w:rFonts w:hint="default" w:ascii="黑体" w:hAnsi="黑体" w:eastAsia="黑体" w:cs="黑体"/>
        <w:spacing w:val="-3"/>
        <w:w w:val="100"/>
        <w:sz w:val="21"/>
        <w:szCs w:val="21"/>
        <w:lang w:val="en-US" w:eastAsia="en-US" w:bidi="en-US"/>
      </w:rPr>
    </w:lvl>
    <w:lvl w:ilvl="4">
      <w:start w:val="1"/>
      <w:numFmt w:val="lowerLetter"/>
      <w:lvlText w:val="%5）"/>
      <w:lvlJc w:val="left"/>
      <w:pPr>
        <w:ind w:left="1412" w:hanging="318"/>
        <w:jc w:val="left"/>
      </w:pPr>
      <w:rPr>
        <w:rFonts w:hint="default" w:ascii="宋体" w:hAnsi="宋体" w:eastAsia="宋体" w:cs="宋体"/>
        <w:spacing w:val="-3"/>
        <w:w w:val="100"/>
        <w:sz w:val="19"/>
        <w:szCs w:val="19"/>
        <w:lang w:val="en-US" w:eastAsia="en-US" w:bidi="en-US"/>
      </w:rPr>
    </w:lvl>
    <w:lvl w:ilvl="5">
      <w:start w:val="0"/>
      <w:numFmt w:val="bullet"/>
      <w:lvlText w:val="•"/>
      <w:lvlJc w:val="left"/>
      <w:pPr>
        <w:ind w:left="5142" w:hanging="318"/>
      </w:pPr>
      <w:rPr>
        <w:rFonts w:hint="default"/>
        <w:lang w:val="en-US" w:eastAsia="en-US" w:bidi="en-US"/>
      </w:rPr>
    </w:lvl>
    <w:lvl w:ilvl="6">
      <w:start w:val="0"/>
      <w:numFmt w:val="bullet"/>
      <w:lvlText w:val="•"/>
      <w:lvlJc w:val="left"/>
      <w:pPr>
        <w:ind w:left="6263" w:hanging="318"/>
      </w:pPr>
      <w:rPr>
        <w:rFonts w:hint="default"/>
        <w:lang w:val="en-US" w:eastAsia="en-US" w:bidi="en-US"/>
      </w:rPr>
    </w:lvl>
    <w:lvl w:ilvl="7">
      <w:start w:val="0"/>
      <w:numFmt w:val="bullet"/>
      <w:lvlText w:val="•"/>
      <w:lvlJc w:val="left"/>
      <w:pPr>
        <w:ind w:left="7384" w:hanging="318"/>
      </w:pPr>
      <w:rPr>
        <w:rFonts w:hint="default"/>
        <w:lang w:val="en-US" w:eastAsia="en-US" w:bidi="en-US"/>
      </w:rPr>
    </w:lvl>
    <w:lvl w:ilvl="8">
      <w:start w:val="0"/>
      <w:numFmt w:val="bullet"/>
      <w:lvlText w:val="•"/>
      <w:lvlJc w:val="left"/>
      <w:pPr>
        <w:ind w:left="8504" w:hanging="318"/>
      </w:pPr>
      <w:rPr>
        <w:rFonts w:hint="default"/>
        <w:lang w:val="en-US" w:eastAsia="en-US" w:bidi="en-US"/>
      </w:rPr>
    </w:lvl>
  </w:abstractNum>
  <w:abstractNum w:abstractNumId="10">
    <w:multiLevelType w:val="hybridMultilevel"/>
    <w:lvl w:ilvl="0">
      <w:start w:val="2"/>
      <w:numFmt w:val="upperLetter"/>
      <w:lvlText w:val="%1"/>
      <w:lvlJc w:val="left"/>
      <w:pPr>
        <w:ind w:left="1575" w:hanging="737"/>
        <w:jc w:val="left"/>
      </w:pPr>
      <w:rPr>
        <w:rFonts w:hint="default"/>
        <w:lang w:val="en-US" w:eastAsia="en-US" w:bidi="en-US"/>
      </w:rPr>
    </w:lvl>
    <w:lvl w:ilvl="1">
      <w:start w:val="3"/>
      <w:numFmt w:val="decimal"/>
      <w:lvlText w:val="%1.%2"/>
      <w:lvlJc w:val="left"/>
      <w:pPr>
        <w:ind w:left="1575" w:hanging="737"/>
        <w:jc w:val="left"/>
      </w:pPr>
      <w:rPr>
        <w:rFonts w:hint="default"/>
        <w:lang w:val="en-US" w:eastAsia="en-US" w:bidi="en-US"/>
      </w:rPr>
    </w:lvl>
    <w:lvl w:ilvl="2">
      <w:start w:val="1"/>
      <w:numFmt w:val="decimal"/>
      <w:lvlText w:val="%1.%2.%3"/>
      <w:lvlJc w:val="left"/>
      <w:pPr>
        <w:ind w:left="1575" w:hanging="737"/>
        <w:jc w:val="right"/>
      </w:pPr>
      <w:rPr>
        <w:rFonts w:hint="default" w:ascii="黑体" w:hAnsi="黑体" w:eastAsia="黑体" w:cs="黑体"/>
        <w:w w:val="100"/>
        <w:sz w:val="21"/>
        <w:szCs w:val="21"/>
        <w:lang w:val="en-US" w:eastAsia="en-US" w:bidi="en-US"/>
      </w:rPr>
    </w:lvl>
    <w:lvl w:ilvl="3">
      <w:start w:val="1"/>
      <w:numFmt w:val="lowerLetter"/>
      <w:lvlText w:val="%4）"/>
      <w:lvlJc w:val="left"/>
      <w:pPr>
        <w:ind w:left="1698" w:hanging="318"/>
        <w:jc w:val="left"/>
      </w:pPr>
      <w:rPr>
        <w:rFonts w:hint="default" w:ascii="宋体" w:hAnsi="宋体" w:eastAsia="宋体" w:cs="宋体"/>
        <w:spacing w:val="-3"/>
        <w:w w:val="100"/>
        <w:sz w:val="19"/>
        <w:szCs w:val="19"/>
        <w:lang w:val="en-US" w:eastAsia="en-US" w:bidi="en-US"/>
      </w:rPr>
    </w:lvl>
    <w:lvl w:ilvl="4">
      <w:start w:val="0"/>
      <w:numFmt w:val="bullet"/>
      <w:lvlText w:val="•"/>
      <w:lvlJc w:val="left"/>
      <w:pPr>
        <w:ind w:left="4715" w:hanging="318"/>
      </w:pPr>
      <w:rPr>
        <w:rFonts w:hint="default"/>
        <w:lang w:val="en-US" w:eastAsia="en-US" w:bidi="en-US"/>
      </w:rPr>
    </w:lvl>
    <w:lvl w:ilvl="5">
      <w:start w:val="0"/>
      <w:numFmt w:val="bullet"/>
      <w:lvlText w:val="•"/>
      <w:lvlJc w:val="left"/>
      <w:pPr>
        <w:ind w:left="5720" w:hanging="318"/>
      </w:pPr>
      <w:rPr>
        <w:rFonts w:hint="default"/>
        <w:lang w:val="en-US" w:eastAsia="en-US" w:bidi="en-US"/>
      </w:rPr>
    </w:lvl>
    <w:lvl w:ilvl="6">
      <w:start w:val="0"/>
      <w:numFmt w:val="bullet"/>
      <w:lvlText w:val="•"/>
      <w:lvlJc w:val="left"/>
      <w:pPr>
        <w:ind w:left="6725" w:hanging="318"/>
      </w:pPr>
      <w:rPr>
        <w:rFonts w:hint="default"/>
        <w:lang w:val="en-US" w:eastAsia="en-US" w:bidi="en-US"/>
      </w:rPr>
    </w:lvl>
    <w:lvl w:ilvl="7">
      <w:start w:val="0"/>
      <w:numFmt w:val="bullet"/>
      <w:lvlText w:val="•"/>
      <w:lvlJc w:val="left"/>
      <w:pPr>
        <w:ind w:left="7730" w:hanging="318"/>
      </w:pPr>
      <w:rPr>
        <w:rFonts w:hint="default"/>
        <w:lang w:val="en-US" w:eastAsia="en-US" w:bidi="en-US"/>
      </w:rPr>
    </w:lvl>
    <w:lvl w:ilvl="8">
      <w:start w:val="0"/>
      <w:numFmt w:val="bullet"/>
      <w:lvlText w:val="•"/>
      <w:lvlJc w:val="left"/>
      <w:pPr>
        <w:ind w:left="8736" w:hanging="318"/>
      </w:pPr>
      <w:rPr>
        <w:rFonts w:hint="default"/>
        <w:lang w:val="en-US" w:eastAsia="en-US" w:bidi="en-US"/>
      </w:rPr>
    </w:lvl>
  </w:abstractNum>
  <w:abstractNum w:abstractNumId="9">
    <w:multiLevelType w:val="hybridMultilevel"/>
    <w:lvl w:ilvl="0">
      <w:start w:val="5"/>
      <w:numFmt w:val="lowerLetter"/>
      <w:lvlText w:val="%1）"/>
      <w:lvlJc w:val="left"/>
      <w:pPr>
        <w:ind w:left="157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496" w:hanging="318"/>
      </w:pPr>
      <w:rPr>
        <w:rFonts w:hint="default"/>
        <w:lang w:val="en-US" w:eastAsia="en-US" w:bidi="en-US"/>
      </w:rPr>
    </w:lvl>
    <w:lvl w:ilvl="2">
      <w:start w:val="0"/>
      <w:numFmt w:val="bullet"/>
      <w:lvlText w:val="•"/>
      <w:lvlJc w:val="left"/>
      <w:pPr>
        <w:ind w:left="3413" w:hanging="318"/>
      </w:pPr>
      <w:rPr>
        <w:rFonts w:hint="default"/>
        <w:lang w:val="en-US" w:eastAsia="en-US" w:bidi="en-US"/>
      </w:rPr>
    </w:lvl>
    <w:lvl w:ilvl="3">
      <w:start w:val="0"/>
      <w:numFmt w:val="bullet"/>
      <w:lvlText w:val="•"/>
      <w:lvlJc w:val="left"/>
      <w:pPr>
        <w:ind w:left="4329" w:hanging="318"/>
      </w:pPr>
      <w:rPr>
        <w:rFonts w:hint="default"/>
        <w:lang w:val="en-US" w:eastAsia="en-US" w:bidi="en-US"/>
      </w:rPr>
    </w:lvl>
    <w:lvl w:ilvl="4">
      <w:start w:val="0"/>
      <w:numFmt w:val="bullet"/>
      <w:lvlText w:val="•"/>
      <w:lvlJc w:val="left"/>
      <w:pPr>
        <w:ind w:left="5246" w:hanging="318"/>
      </w:pPr>
      <w:rPr>
        <w:rFonts w:hint="default"/>
        <w:lang w:val="en-US" w:eastAsia="en-US" w:bidi="en-US"/>
      </w:rPr>
    </w:lvl>
    <w:lvl w:ilvl="5">
      <w:start w:val="0"/>
      <w:numFmt w:val="bullet"/>
      <w:lvlText w:val="•"/>
      <w:lvlJc w:val="left"/>
      <w:pPr>
        <w:ind w:left="6163" w:hanging="318"/>
      </w:pPr>
      <w:rPr>
        <w:rFonts w:hint="default"/>
        <w:lang w:val="en-US" w:eastAsia="en-US" w:bidi="en-US"/>
      </w:rPr>
    </w:lvl>
    <w:lvl w:ilvl="6">
      <w:start w:val="0"/>
      <w:numFmt w:val="bullet"/>
      <w:lvlText w:val="•"/>
      <w:lvlJc w:val="left"/>
      <w:pPr>
        <w:ind w:left="7079" w:hanging="318"/>
      </w:pPr>
      <w:rPr>
        <w:rFonts w:hint="default"/>
        <w:lang w:val="en-US" w:eastAsia="en-US" w:bidi="en-US"/>
      </w:rPr>
    </w:lvl>
    <w:lvl w:ilvl="7">
      <w:start w:val="0"/>
      <w:numFmt w:val="bullet"/>
      <w:lvlText w:val="•"/>
      <w:lvlJc w:val="left"/>
      <w:pPr>
        <w:ind w:left="7996" w:hanging="318"/>
      </w:pPr>
      <w:rPr>
        <w:rFonts w:hint="default"/>
        <w:lang w:val="en-US" w:eastAsia="en-US" w:bidi="en-US"/>
      </w:rPr>
    </w:lvl>
    <w:lvl w:ilvl="8">
      <w:start w:val="0"/>
      <w:numFmt w:val="bullet"/>
      <w:lvlText w:val="•"/>
      <w:lvlJc w:val="left"/>
      <w:pPr>
        <w:ind w:left="8913" w:hanging="318"/>
      </w:pPr>
      <w:rPr>
        <w:rFonts w:hint="default"/>
        <w:lang w:val="en-US" w:eastAsia="en-US" w:bidi="en-US"/>
      </w:rPr>
    </w:lvl>
  </w:abstractNum>
  <w:abstractNum w:abstractNumId="8">
    <w:multiLevelType w:val="hybridMultilevel"/>
    <w:lvl w:ilvl="0">
      <w:start w:val="2"/>
      <w:numFmt w:val="lowerLetter"/>
      <w:lvlText w:val="%1）"/>
      <w:lvlJc w:val="left"/>
      <w:pPr>
        <w:ind w:left="1576"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2496" w:hanging="318"/>
      </w:pPr>
      <w:rPr>
        <w:rFonts w:hint="default"/>
        <w:lang w:val="en-US" w:eastAsia="en-US" w:bidi="en-US"/>
      </w:rPr>
    </w:lvl>
    <w:lvl w:ilvl="2">
      <w:start w:val="0"/>
      <w:numFmt w:val="bullet"/>
      <w:lvlText w:val="•"/>
      <w:lvlJc w:val="left"/>
      <w:pPr>
        <w:ind w:left="3413" w:hanging="318"/>
      </w:pPr>
      <w:rPr>
        <w:rFonts w:hint="default"/>
        <w:lang w:val="en-US" w:eastAsia="en-US" w:bidi="en-US"/>
      </w:rPr>
    </w:lvl>
    <w:lvl w:ilvl="3">
      <w:start w:val="0"/>
      <w:numFmt w:val="bullet"/>
      <w:lvlText w:val="•"/>
      <w:lvlJc w:val="left"/>
      <w:pPr>
        <w:ind w:left="4329" w:hanging="318"/>
      </w:pPr>
      <w:rPr>
        <w:rFonts w:hint="default"/>
        <w:lang w:val="en-US" w:eastAsia="en-US" w:bidi="en-US"/>
      </w:rPr>
    </w:lvl>
    <w:lvl w:ilvl="4">
      <w:start w:val="0"/>
      <w:numFmt w:val="bullet"/>
      <w:lvlText w:val="•"/>
      <w:lvlJc w:val="left"/>
      <w:pPr>
        <w:ind w:left="5246" w:hanging="318"/>
      </w:pPr>
      <w:rPr>
        <w:rFonts w:hint="default"/>
        <w:lang w:val="en-US" w:eastAsia="en-US" w:bidi="en-US"/>
      </w:rPr>
    </w:lvl>
    <w:lvl w:ilvl="5">
      <w:start w:val="0"/>
      <w:numFmt w:val="bullet"/>
      <w:lvlText w:val="•"/>
      <w:lvlJc w:val="left"/>
      <w:pPr>
        <w:ind w:left="6163" w:hanging="318"/>
      </w:pPr>
      <w:rPr>
        <w:rFonts w:hint="default"/>
        <w:lang w:val="en-US" w:eastAsia="en-US" w:bidi="en-US"/>
      </w:rPr>
    </w:lvl>
    <w:lvl w:ilvl="6">
      <w:start w:val="0"/>
      <w:numFmt w:val="bullet"/>
      <w:lvlText w:val="•"/>
      <w:lvlJc w:val="left"/>
      <w:pPr>
        <w:ind w:left="7079" w:hanging="318"/>
      </w:pPr>
      <w:rPr>
        <w:rFonts w:hint="default"/>
        <w:lang w:val="en-US" w:eastAsia="en-US" w:bidi="en-US"/>
      </w:rPr>
    </w:lvl>
    <w:lvl w:ilvl="7">
      <w:start w:val="0"/>
      <w:numFmt w:val="bullet"/>
      <w:lvlText w:val="•"/>
      <w:lvlJc w:val="left"/>
      <w:pPr>
        <w:ind w:left="7996" w:hanging="318"/>
      </w:pPr>
      <w:rPr>
        <w:rFonts w:hint="default"/>
        <w:lang w:val="en-US" w:eastAsia="en-US" w:bidi="en-US"/>
      </w:rPr>
    </w:lvl>
    <w:lvl w:ilvl="8">
      <w:start w:val="0"/>
      <w:numFmt w:val="bullet"/>
      <w:lvlText w:val="•"/>
      <w:lvlJc w:val="left"/>
      <w:pPr>
        <w:ind w:left="8913" w:hanging="318"/>
      </w:pPr>
      <w:rPr>
        <w:rFonts w:hint="default"/>
        <w:lang w:val="en-US" w:eastAsia="en-US" w:bidi="en-US"/>
      </w:rPr>
    </w:lvl>
  </w:abstractNum>
  <w:abstractNum w:abstractNumId="7">
    <w:multiLevelType w:val="hybridMultilevel"/>
    <w:lvl w:ilvl="0">
      <w:start w:val="2"/>
      <w:numFmt w:val="upperLetter"/>
      <w:lvlText w:val="%1"/>
      <w:lvlJc w:val="left"/>
      <w:pPr>
        <w:ind w:left="1290" w:hanging="738"/>
        <w:jc w:val="left"/>
      </w:pPr>
      <w:rPr>
        <w:rFonts w:hint="default"/>
        <w:lang w:val="en-US" w:eastAsia="en-US" w:bidi="en-US"/>
      </w:rPr>
    </w:lvl>
    <w:lvl w:ilvl="1">
      <w:start w:val="2"/>
      <w:numFmt w:val="decimal"/>
      <w:lvlText w:val="%1.%2"/>
      <w:lvlJc w:val="left"/>
      <w:pPr>
        <w:ind w:left="1290" w:hanging="738"/>
        <w:jc w:val="left"/>
      </w:pPr>
      <w:rPr>
        <w:rFonts w:hint="default"/>
        <w:lang w:val="en-US" w:eastAsia="en-US" w:bidi="en-US"/>
      </w:rPr>
    </w:lvl>
    <w:lvl w:ilvl="2">
      <w:start w:val="1"/>
      <w:numFmt w:val="decimal"/>
      <w:lvlText w:val="%1.%2.%3"/>
      <w:lvlJc w:val="left"/>
      <w:pPr>
        <w:ind w:left="1290" w:hanging="738"/>
        <w:jc w:val="left"/>
      </w:pPr>
      <w:rPr>
        <w:rFonts w:hint="default" w:ascii="黑体" w:hAnsi="黑体" w:eastAsia="黑体" w:cs="黑体"/>
        <w:w w:val="100"/>
        <w:sz w:val="21"/>
        <w:szCs w:val="21"/>
        <w:lang w:val="en-US" w:eastAsia="en-US" w:bidi="en-US"/>
      </w:rPr>
    </w:lvl>
    <w:lvl w:ilvl="3">
      <w:start w:val="1"/>
      <w:numFmt w:val="decimal"/>
      <w:lvlText w:val="%1.%2.%3.%4"/>
      <w:lvlJc w:val="left"/>
      <w:pPr>
        <w:ind w:left="1498" w:hanging="946"/>
        <w:jc w:val="right"/>
      </w:pPr>
      <w:rPr>
        <w:rFonts w:hint="default" w:ascii="黑体" w:hAnsi="黑体" w:eastAsia="黑体" w:cs="黑体"/>
        <w:spacing w:val="-3"/>
        <w:w w:val="100"/>
        <w:sz w:val="21"/>
        <w:szCs w:val="21"/>
        <w:lang w:val="en-US" w:eastAsia="en-US" w:bidi="en-US"/>
      </w:rPr>
    </w:lvl>
    <w:lvl w:ilvl="4">
      <w:start w:val="0"/>
      <w:numFmt w:val="bullet"/>
      <w:lvlText w:val="•"/>
      <w:lvlJc w:val="left"/>
      <w:pPr>
        <w:ind w:left="4582" w:hanging="946"/>
      </w:pPr>
      <w:rPr>
        <w:rFonts w:hint="default"/>
        <w:lang w:val="en-US" w:eastAsia="en-US" w:bidi="en-US"/>
      </w:rPr>
    </w:lvl>
    <w:lvl w:ilvl="5">
      <w:start w:val="0"/>
      <w:numFmt w:val="bullet"/>
      <w:lvlText w:val="•"/>
      <w:lvlJc w:val="left"/>
      <w:pPr>
        <w:ind w:left="5609" w:hanging="946"/>
      </w:pPr>
      <w:rPr>
        <w:rFonts w:hint="default"/>
        <w:lang w:val="en-US" w:eastAsia="en-US" w:bidi="en-US"/>
      </w:rPr>
    </w:lvl>
    <w:lvl w:ilvl="6">
      <w:start w:val="0"/>
      <w:numFmt w:val="bullet"/>
      <w:lvlText w:val="•"/>
      <w:lvlJc w:val="left"/>
      <w:pPr>
        <w:ind w:left="6636" w:hanging="946"/>
      </w:pPr>
      <w:rPr>
        <w:rFonts w:hint="default"/>
        <w:lang w:val="en-US" w:eastAsia="en-US" w:bidi="en-US"/>
      </w:rPr>
    </w:lvl>
    <w:lvl w:ilvl="7">
      <w:start w:val="0"/>
      <w:numFmt w:val="bullet"/>
      <w:lvlText w:val="•"/>
      <w:lvlJc w:val="left"/>
      <w:pPr>
        <w:ind w:left="7664" w:hanging="946"/>
      </w:pPr>
      <w:rPr>
        <w:rFonts w:hint="default"/>
        <w:lang w:val="en-US" w:eastAsia="en-US" w:bidi="en-US"/>
      </w:rPr>
    </w:lvl>
    <w:lvl w:ilvl="8">
      <w:start w:val="0"/>
      <w:numFmt w:val="bullet"/>
      <w:lvlText w:val="•"/>
      <w:lvlJc w:val="left"/>
      <w:pPr>
        <w:ind w:left="8691" w:hanging="946"/>
      </w:pPr>
      <w:rPr>
        <w:rFonts w:hint="default"/>
        <w:lang w:val="en-US" w:eastAsia="en-US" w:bidi="en-US"/>
      </w:rPr>
    </w:lvl>
  </w:abstractNum>
  <w:abstractNum w:abstractNumId="6">
    <w:multiLevelType w:val="hybridMultilevel"/>
    <w:lvl w:ilvl="0">
      <w:start w:val="2"/>
      <w:numFmt w:val="upperLetter"/>
      <w:lvlText w:val="%1"/>
      <w:lvlJc w:val="left"/>
      <w:pPr>
        <w:ind w:left="1078" w:hanging="527"/>
        <w:jc w:val="left"/>
      </w:pPr>
      <w:rPr>
        <w:rFonts w:hint="default"/>
        <w:lang w:val="en-US" w:eastAsia="en-US" w:bidi="en-US"/>
      </w:rPr>
    </w:lvl>
    <w:lvl w:ilvl="1">
      <w:start w:val="1"/>
      <w:numFmt w:val="decimal"/>
      <w:lvlText w:val="%1.%2"/>
      <w:lvlJc w:val="left"/>
      <w:pPr>
        <w:ind w:left="1078" w:hanging="527"/>
        <w:jc w:val="right"/>
      </w:pPr>
      <w:rPr>
        <w:rFonts w:hint="default" w:ascii="黑体" w:hAnsi="黑体" w:eastAsia="黑体" w:cs="黑体"/>
        <w:w w:val="100"/>
        <w:sz w:val="21"/>
        <w:szCs w:val="21"/>
        <w:lang w:val="en-US" w:eastAsia="en-US" w:bidi="en-US"/>
      </w:rPr>
    </w:lvl>
    <w:lvl w:ilvl="2">
      <w:start w:val="1"/>
      <w:numFmt w:val="lowerLetter"/>
      <w:lvlText w:val="%3）"/>
      <w:lvlJc w:val="left"/>
      <w:pPr>
        <w:ind w:left="1412" w:hanging="318"/>
        <w:jc w:val="left"/>
      </w:pPr>
      <w:rPr>
        <w:rFonts w:hint="default" w:ascii="宋体" w:hAnsi="宋体" w:eastAsia="宋体" w:cs="宋体"/>
        <w:spacing w:val="-3"/>
        <w:w w:val="100"/>
        <w:sz w:val="19"/>
        <w:szCs w:val="19"/>
        <w:lang w:val="en-US" w:eastAsia="en-US" w:bidi="en-US"/>
      </w:rPr>
    </w:lvl>
    <w:lvl w:ilvl="3">
      <w:start w:val="0"/>
      <w:numFmt w:val="bullet"/>
      <w:lvlText w:val="•"/>
      <w:lvlJc w:val="left"/>
      <w:pPr>
        <w:ind w:left="3492" w:hanging="318"/>
      </w:pPr>
      <w:rPr>
        <w:rFonts w:hint="default"/>
        <w:lang w:val="en-US" w:eastAsia="en-US" w:bidi="en-US"/>
      </w:rPr>
    </w:lvl>
    <w:lvl w:ilvl="4">
      <w:start w:val="0"/>
      <w:numFmt w:val="bullet"/>
      <w:lvlText w:val="•"/>
      <w:lvlJc w:val="left"/>
      <w:pPr>
        <w:ind w:left="4528" w:hanging="318"/>
      </w:pPr>
      <w:rPr>
        <w:rFonts w:hint="default"/>
        <w:lang w:val="en-US" w:eastAsia="en-US" w:bidi="en-US"/>
      </w:rPr>
    </w:lvl>
    <w:lvl w:ilvl="5">
      <w:start w:val="0"/>
      <w:numFmt w:val="bullet"/>
      <w:lvlText w:val="•"/>
      <w:lvlJc w:val="left"/>
      <w:pPr>
        <w:ind w:left="5565" w:hanging="318"/>
      </w:pPr>
      <w:rPr>
        <w:rFonts w:hint="default"/>
        <w:lang w:val="en-US" w:eastAsia="en-US" w:bidi="en-US"/>
      </w:rPr>
    </w:lvl>
    <w:lvl w:ilvl="6">
      <w:start w:val="0"/>
      <w:numFmt w:val="bullet"/>
      <w:lvlText w:val="•"/>
      <w:lvlJc w:val="left"/>
      <w:pPr>
        <w:ind w:left="6601" w:hanging="318"/>
      </w:pPr>
      <w:rPr>
        <w:rFonts w:hint="default"/>
        <w:lang w:val="en-US" w:eastAsia="en-US" w:bidi="en-US"/>
      </w:rPr>
    </w:lvl>
    <w:lvl w:ilvl="7">
      <w:start w:val="0"/>
      <w:numFmt w:val="bullet"/>
      <w:lvlText w:val="•"/>
      <w:lvlJc w:val="left"/>
      <w:pPr>
        <w:ind w:left="7637" w:hanging="318"/>
      </w:pPr>
      <w:rPr>
        <w:rFonts w:hint="default"/>
        <w:lang w:val="en-US" w:eastAsia="en-US" w:bidi="en-US"/>
      </w:rPr>
    </w:lvl>
    <w:lvl w:ilvl="8">
      <w:start w:val="0"/>
      <w:numFmt w:val="bullet"/>
      <w:lvlText w:val="•"/>
      <w:lvlJc w:val="left"/>
      <w:pPr>
        <w:ind w:left="8673" w:hanging="318"/>
      </w:pPr>
      <w:rPr>
        <w:rFonts w:hint="default"/>
        <w:lang w:val="en-US" w:eastAsia="en-US" w:bidi="en-US"/>
      </w:rPr>
    </w:lvl>
  </w:abstractNum>
  <w:abstractNum w:abstractNumId="5">
    <w:multiLevelType w:val="hybridMultilevel"/>
    <w:lvl w:ilvl="0">
      <w:start w:val="1"/>
      <w:numFmt w:val="upperLetter"/>
      <w:lvlText w:val="%1"/>
      <w:lvlJc w:val="left"/>
      <w:pPr>
        <w:ind w:left="1078" w:hanging="527"/>
        <w:jc w:val="left"/>
      </w:pPr>
      <w:rPr>
        <w:rFonts w:hint="default"/>
        <w:lang w:val="en-US" w:eastAsia="en-US" w:bidi="en-US"/>
      </w:rPr>
    </w:lvl>
    <w:lvl w:ilvl="1">
      <w:start w:val="1"/>
      <w:numFmt w:val="decimal"/>
      <w:lvlText w:val="%1.%2"/>
      <w:lvlJc w:val="left"/>
      <w:pPr>
        <w:ind w:left="1078" w:hanging="527"/>
        <w:jc w:val="left"/>
      </w:pPr>
      <w:rPr>
        <w:rFonts w:hint="default" w:ascii="黑体" w:hAnsi="黑体" w:eastAsia="黑体" w:cs="黑体"/>
        <w:w w:val="100"/>
        <w:sz w:val="21"/>
        <w:szCs w:val="21"/>
        <w:lang w:val="en-US" w:eastAsia="en-US" w:bidi="en-US"/>
      </w:rPr>
    </w:lvl>
    <w:lvl w:ilvl="2">
      <w:start w:val="0"/>
      <w:numFmt w:val="bullet"/>
      <w:lvlText w:val="•"/>
      <w:lvlJc w:val="left"/>
      <w:pPr>
        <w:ind w:left="3013" w:hanging="527"/>
      </w:pPr>
      <w:rPr>
        <w:rFonts w:hint="default"/>
        <w:lang w:val="en-US" w:eastAsia="en-US" w:bidi="en-US"/>
      </w:rPr>
    </w:lvl>
    <w:lvl w:ilvl="3">
      <w:start w:val="0"/>
      <w:numFmt w:val="bullet"/>
      <w:lvlText w:val="•"/>
      <w:lvlJc w:val="left"/>
      <w:pPr>
        <w:ind w:left="3979" w:hanging="527"/>
      </w:pPr>
      <w:rPr>
        <w:rFonts w:hint="default"/>
        <w:lang w:val="en-US" w:eastAsia="en-US" w:bidi="en-US"/>
      </w:rPr>
    </w:lvl>
    <w:lvl w:ilvl="4">
      <w:start w:val="0"/>
      <w:numFmt w:val="bullet"/>
      <w:lvlText w:val="•"/>
      <w:lvlJc w:val="left"/>
      <w:pPr>
        <w:ind w:left="4946" w:hanging="527"/>
      </w:pPr>
      <w:rPr>
        <w:rFonts w:hint="default"/>
        <w:lang w:val="en-US" w:eastAsia="en-US" w:bidi="en-US"/>
      </w:rPr>
    </w:lvl>
    <w:lvl w:ilvl="5">
      <w:start w:val="0"/>
      <w:numFmt w:val="bullet"/>
      <w:lvlText w:val="•"/>
      <w:lvlJc w:val="left"/>
      <w:pPr>
        <w:ind w:left="5913" w:hanging="527"/>
      </w:pPr>
      <w:rPr>
        <w:rFonts w:hint="default"/>
        <w:lang w:val="en-US" w:eastAsia="en-US" w:bidi="en-US"/>
      </w:rPr>
    </w:lvl>
    <w:lvl w:ilvl="6">
      <w:start w:val="0"/>
      <w:numFmt w:val="bullet"/>
      <w:lvlText w:val="•"/>
      <w:lvlJc w:val="left"/>
      <w:pPr>
        <w:ind w:left="6879" w:hanging="527"/>
      </w:pPr>
      <w:rPr>
        <w:rFonts w:hint="default"/>
        <w:lang w:val="en-US" w:eastAsia="en-US" w:bidi="en-US"/>
      </w:rPr>
    </w:lvl>
    <w:lvl w:ilvl="7">
      <w:start w:val="0"/>
      <w:numFmt w:val="bullet"/>
      <w:lvlText w:val="•"/>
      <w:lvlJc w:val="left"/>
      <w:pPr>
        <w:ind w:left="7846" w:hanging="527"/>
      </w:pPr>
      <w:rPr>
        <w:rFonts w:hint="default"/>
        <w:lang w:val="en-US" w:eastAsia="en-US" w:bidi="en-US"/>
      </w:rPr>
    </w:lvl>
    <w:lvl w:ilvl="8">
      <w:start w:val="0"/>
      <w:numFmt w:val="bullet"/>
      <w:lvlText w:val="•"/>
      <w:lvlJc w:val="left"/>
      <w:pPr>
        <w:ind w:left="8813" w:hanging="527"/>
      </w:pPr>
      <w:rPr>
        <w:rFonts w:hint="default"/>
        <w:lang w:val="en-US" w:eastAsia="en-US" w:bidi="en-US"/>
      </w:rPr>
    </w:lvl>
  </w:abstractNum>
  <w:abstractNum w:abstractNumId="4">
    <w:multiLevelType w:val="hybridMultilevel"/>
    <w:lvl w:ilvl="0">
      <w:start w:val="5"/>
      <w:numFmt w:val="decimal"/>
      <w:lvlText w:val="%1"/>
      <w:lvlJc w:val="left"/>
      <w:pPr>
        <w:ind w:left="1575" w:hanging="737"/>
        <w:jc w:val="left"/>
      </w:pPr>
      <w:rPr>
        <w:rFonts w:hint="default"/>
        <w:lang w:val="en-US" w:eastAsia="en-US" w:bidi="en-US"/>
      </w:rPr>
    </w:lvl>
    <w:lvl w:ilvl="1">
      <w:start w:val="3"/>
      <w:numFmt w:val="decimal"/>
      <w:lvlText w:val="%1.%2"/>
      <w:lvlJc w:val="left"/>
      <w:pPr>
        <w:ind w:left="1575" w:hanging="737"/>
        <w:jc w:val="left"/>
      </w:pPr>
      <w:rPr>
        <w:rFonts w:hint="default"/>
        <w:lang w:val="en-US" w:eastAsia="en-US" w:bidi="en-US"/>
      </w:rPr>
    </w:lvl>
    <w:lvl w:ilvl="2">
      <w:start w:val="1"/>
      <w:numFmt w:val="decimal"/>
      <w:lvlText w:val="%1.%2.%3"/>
      <w:lvlJc w:val="left"/>
      <w:pPr>
        <w:ind w:left="1575" w:hanging="737"/>
        <w:jc w:val="left"/>
      </w:pPr>
      <w:rPr>
        <w:rFonts w:hint="default" w:ascii="黑体" w:hAnsi="黑体" w:eastAsia="黑体" w:cs="黑体"/>
        <w:w w:val="100"/>
        <w:sz w:val="21"/>
        <w:szCs w:val="21"/>
        <w:lang w:val="en-US" w:eastAsia="en-US" w:bidi="en-US"/>
      </w:rPr>
    </w:lvl>
    <w:lvl w:ilvl="3">
      <w:start w:val="1"/>
      <w:numFmt w:val="lowerLetter"/>
      <w:lvlText w:val="%4）"/>
      <w:lvlJc w:val="left"/>
      <w:pPr>
        <w:ind w:left="1698" w:hanging="318"/>
        <w:jc w:val="left"/>
      </w:pPr>
      <w:rPr>
        <w:rFonts w:hint="default" w:ascii="宋体" w:hAnsi="宋体" w:eastAsia="宋体" w:cs="宋体"/>
        <w:spacing w:val="-3"/>
        <w:w w:val="100"/>
        <w:sz w:val="19"/>
        <w:szCs w:val="19"/>
        <w:lang w:val="en-US" w:eastAsia="en-US" w:bidi="en-US"/>
      </w:rPr>
    </w:lvl>
    <w:lvl w:ilvl="4">
      <w:start w:val="0"/>
      <w:numFmt w:val="bullet"/>
      <w:lvlText w:val="•"/>
      <w:lvlJc w:val="left"/>
      <w:pPr>
        <w:ind w:left="4715" w:hanging="318"/>
      </w:pPr>
      <w:rPr>
        <w:rFonts w:hint="default"/>
        <w:lang w:val="en-US" w:eastAsia="en-US" w:bidi="en-US"/>
      </w:rPr>
    </w:lvl>
    <w:lvl w:ilvl="5">
      <w:start w:val="0"/>
      <w:numFmt w:val="bullet"/>
      <w:lvlText w:val="•"/>
      <w:lvlJc w:val="left"/>
      <w:pPr>
        <w:ind w:left="5720" w:hanging="318"/>
      </w:pPr>
      <w:rPr>
        <w:rFonts w:hint="default"/>
        <w:lang w:val="en-US" w:eastAsia="en-US" w:bidi="en-US"/>
      </w:rPr>
    </w:lvl>
    <w:lvl w:ilvl="6">
      <w:start w:val="0"/>
      <w:numFmt w:val="bullet"/>
      <w:lvlText w:val="•"/>
      <w:lvlJc w:val="left"/>
      <w:pPr>
        <w:ind w:left="6725" w:hanging="318"/>
      </w:pPr>
      <w:rPr>
        <w:rFonts w:hint="default"/>
        <w:lang w:val="en-US" w:eastAsia="en-US" w:bidi="en-US"/>
      </w:rPr>
    </w:lvl>
    <w:lvl w:ilvl="7">
      <w:start w:val="0"/>
      <w:numFmt w:val="bullet"/>
      <w:lvlText w:val="•"/>
      <w:lvlJc w:val="left"/>
      <w:pPr>
        <w:ind w:left="7730" w:hanging="318"/>
      </w:pPr>
      <w:rPr>
        <w:rFonts w:hint="default"/>
        <w:lang w:val="en-US" w:eastAsia="en-US" w:bidi="en-US"/>
      </w:rPr>
    </w:lvl>
    <w:lvl w:ilvl="8">
      <w:start w:val="0"/>
      <w:numFmt w:val="bullet"/>
      <w:lvlText w:val="•"/>
      <w:lvlJc w:val="left"/>
      <w:pPr>
        <w:ind w:left="8736" w:hanging="318"/>
      </w:pPr>
      <w:rPr>
        <w:rFonts w:hint="default"/>
        <w:lang w:val="en-US" w:eastAsia="en-US" w:bidi="en-US"/>
      </w:rPr>
    </w:lvl>
  </w:abstractNum>
  <w:abstractNum w:abstractNumId="3">
    <w:multiLevelType w:val="hybridMultilevel"/>
    <w:lvl w:ilvl="0">
      <w:start w:val="3"/>
      <w:numFmt w:val="lowerLetter"/>
      <w:lvlText w:val="%1）"/>
      <w:lvlJc w:val="left"/>
      <w:pPr>
        <w:ind w:left="1310" w:hanging="318"/>
        <w:jc w:val="left"/>
      </w:pPr>
      <w:rPr>
        <w:rFonts w:hint="default" w:ascii="宋体" w:hAnsi="宋体" w:eastAsia="宋体" w:cs="宋体"/>
        <w:spacing w:val="-3"/>
        <w:w w:val="100"/>
        <w:sz w:val="19"/>
        <w:szCs w:val="19"/>
        <w:lang w:val="en-US" w:eastAsia="en-US" w:bidi="en-US"/>
      </w:rPr>
    </w:lvl>
    <w:lvl w:ilvl="1">
      <w:start w:val="0"/>
      <w:numFmt w:val="bullet"/>
      <w:lvlText w:val="•"/>
      <w:lvlJc w:val="left"/>
      <w:pPr>
        <w:ind w:left="1320" w:hanging="318"/>
      </w:pPr>
      <w:rPr>
        <w:rFonts w:hint="default"/>
        <w:lang w:val="en-US" w:eastAsia="en-US" w:bidi="en-US"/>
      </w:rPr>
    </w:lvl>
    <w:lvl w:ilvl="2">
      <w:start w:val="0"/>
      <w:numFmt w:val="bullet"/>
      <w:lvlText w:val="•"/>
      <w:lvlJc w:val="left"/>
      <w:pPr>
        <w:ind w:left="2367" w:hanging="318"/>
      </w:pPr>
      <w:rPr>
        <w:rFonts w:hint="default"/>
        <w:lang w:val="en-US" w:eastAsia="en-US" w:bidi="en-US"/>
      </w:rPr>
    </w:lvl>
    <w:lvl w:ilvl="3">
      <w:start w:val="0"/>
      <w:numFmt w:val="bullet"/>
      <w:lvlText w:val="•"/>
      <w:lvlJc w:val="left"/>
      <w:pPr>
        <w:ind w:left="3414" w:hanging="318"/>
      </w:pPr>
      <w:rPr>
        <w:rFonts w:hint="default"/>
        <w:lang w:val="en-US" w:eastAsia="en-US" w:bidi="en-US"/>
      </w:rPr>
    </w:lvl>
    <w:lvl w:ilvl="4">
      <w:start w:val="0"/>
      <w:numFmt w:val="bullet"/>
      <w:lvlText w:val="•"/>
      <w:lvlJc w:val="left"/>
      <w:pPr>
        <w:ind w:left="4462" w:hanging="318"/>
      </w:pPr>
      <w:rPr>
        <w:rFonts w:hint="default"/>
        <w:lang w:val="en-US" w:eastAsia="en-US" w:bidi="en-US"/>
      </w:rPr>
    </w:lvl>
    <w:lvl w:ilvl="5">
      <w:start w:val="0"/>
      <w:numFmt w:val="bullet"/>
      <w:lvlText w:val="•"/>
      <w:lvlJc w:val="left"/>
      <w:pPr>
        <w:ind w:left="5509" w:hanging="318"/>
      </w:pPr>
      <w:rPr>
        <w:rFonts w:hint="default"/>
        <w:lang w:val="en-US" w:eastAsia="en-US" w:bidi="en-US"/>
      </w:rPr>
    </w:lvl>
    <w:lvl w:ilvl="6">
      <w:start w:val="0"/>
      <w:numFmt w:val="bullet"/>
      <w:lvlText w:val="•"/>
      <w:lvlJc w:val="left"/>
      <w:pPr>
        <w:ind w:left="6556" w:hanging="318"/>
      </w:pPr>
      <w:rPr>
        <w:rFonts w:hint="default"/>
        <w:lang w:val="en-US" w:eastAsia="en-US" w:bidi="en-US"/>
      </w:rPr>
    </w:lvl>
    <w:lvl w:ilvl="7">
      <w:start w:val="0"/>
      <w:numFmt w:val="bullet"/>
      <w:lvlText w:val="•"/>
      <w:lvlJc w:val="left"/>
      <w:pPr>
        <w:ind w:left="7604" w:hanging="318"/>
      </w:pPr>
      <w:rPr>
        <w:rFonts w:hint="default"/>
        <w:lang w:val="en-US" w:eastAsia="en-US" w:bidi="en-US"/>
      </w:rPr>
    </w:lvl>
    <w:lvl w:ilvl="8">
      <w:start w:val="0"/>
      <w:numFmt w:val="bullet"/>
      <w:lvlText w:val="•"/>
      <w:lvlJc w:val="left"/>
      <w:pPr>
        <w:ind w:left="8651" w:hanging="318"/>
      </w:pPr>
      <w:rPr>
        <w:rFonts w:hint="default"/>
        <w:lang w:val="en-US" w:eastAsia="en-US" w:bidi="en-US"/>
      </w:rPr>
    </w:lvl>
  </w:abstractNum>
  <w:abstractNum w:abstractNumId="2">
    <w:multiLevelType w:val="hybridMultilevel"/>
    <w:lvl w:ilvl="0">
      <w:start w:val="6"/>
      <w:numFmt w:val="lowerLetter"/>
      <w:lvlText w:val="%1）"/>
      <w:lvlJc w:val="left"/>
      <w:pPr>
        <w:ind w:left="1412" w:hanging="420"/>
        <w:jc w:val="left"/>
      </w:pPr>
      <w:rPr>
        <w:rFonts w:hint="default" w:ascii="Times New Roman" w:hAnsi="Times New Roman" w:eastAsia="Times New Roman" w:cs="Times New Roman"/>
        <w:spacing w:val="-1"/>
        <w:w w:val="100"/>
        <w:sz w:val="21"/>
        <w:szCs w:val="21"/>
        <w:lang w:val="en-US" w:eastAsia="en-US" w:bidi="en-US"/>
      </w:rPr>
    </w:lvl>
    <w:lvl w:ilvl="1">
      <w:start w:val="0"/>
      <w:numFmt w:val="bullet"/>
      <w:lvlText w:val="•"/>
      <w:lvlJc w:val="left"/>
      <w:pPr>
        <w:ind w:left="2352" w:hanging="420"/>
      </w:pPr>
      <w:rPr>
        <w:rFonts w:hint="default"/>
        <w:lang w:val="en-US" w:eastAsia="en-US" w:bidi="en-US"/>
      </w:rPr>
    </w:lvl>
    <w:lvl w:ilvl="2">
      <w:start w:val="0"/>
      <w:numFmt w:val="bullet"/>
      <w:lvlText w:val="•"/>
      <w:lvlJc w:val="left"/>
      <w:pPr>
        <w:ind w:left="3285" w:hanging="420"/>
      </w:pPr>
      <w:rPr>
        <w:rFonts w:hint="default"/>
        <w:lang w:val="en-US" w:eastAsia="en-US" w:bidi="en-US"/>
      </w:rPr>
    </w:lvl>
    <w:lvl w:ilvl="3">
      <w:start w:val="0"/>
      <w:numFmt w:val="bullet"/>
      <w:lvlText w:val="•"/>
      <w:lvlJc w:val="left"/>
      <w:pPr>
        <w:ind w:left="4217" w:hanging="420"/>
      </w:pPr>
      <w:rPr>
        <w:rFonts w:hint="default"/>
        <w:lang w:val="en-US" w:eastAsia="en-US" w:bidi="en-US"/>
      </w:rPr>
    </w:lvl>
    <w:lvl w:ilvl="4">
      <w:start w:val="0"/>
      <w:numFmt w:val="bullet"/>
      <w:lvlText w:val="•"/>
      <w:lvlJc w:val="left"/>
      <w:pPr>
        <w:ind w:left="5150" w:hanging="420"/>
      </w:pPr>
      <w:rPr>
        <w:rFonts w:hint="default"/>
        <w:lang w:val="en-US" w:eastAsia="en-US" w:bidi="en-US"/>
      </w:rPr>
    </w:lvl>
    <w:lvl w:ilvl="5">
      <w:start w:val="0"/>
      <w:numFmt w:val="bullet"/>
      <w:lvlText w:val="•"/>
      <w:lvlJc w:val="left"/>
      <w:pPr>
        <w:ind w:left="6083" w:hanging="420"/>
      </w:pPr>
      <w:rPr>
        <w:rFonts w:hint="default"/>
        <w:lang w:val="en-US" w:eastAsia="en-US" w:bidi="en-US"/>
      </w:rPr>
    </w:lvl>
    <w:lvl w:ilvl="6">
      <w:start w:val="0"/>
      <w:numFmt w:val="bullet"/>
      <w:lvlText w:val="•"/>
      <w:lvlJc w:val="left"/>
      <w:pPr>
        <w:ind w:left="7015" w:hanging="420"/>
      </w:pPr>
      <w:rPr>
        <w:rFonts w:hint="default"/>
        <w:lang w:val="en-US" w:eastAsia="en-US" w:bidi="en-US"/>
      </w:rPr>
    </w:lvl>
    <w:lvl w:ilvl="7">
      <w:start w:val="0"/>
      <w:numFmt w:val="bullet"/>
      <w:lvlText w:val="•"/>
      <w:lvlJc w:val="left"/>
      <w:pPr>
        <w:ind w:left="7948" w:hanging="420"/>
      </w:pPr>
      <w:rPr>
        <w:rFonts w:hint="default"/>
        <w:lang w:val="en-US" w:eastAsia="en-US" w:bidi="en-US"/>
      </w:rPr>
    </w:lvl>
    <w:lvl w:ilvl="8">
      <w:start w:val="0"/>
      <w:numFmt w:val="bullet"/>
      <w:lvlText w:val="•"/>
      <w:lvlJc w:val="left"/>
      <w:pPr>
        <w:ind w:left="8881" w:hanging="420"/>
      </w:pPr>
      <w:rPr>
        <w:rFonts w:hint="default"/>
        <w:lang w:val="en-US" w:eastAsia="en-US" w:bidi="en-US"/>
      </w:rPr>
    </w:lvl>
  </w:abstractNum>
  <w:abstractNum w:abstractNumId="1">
    <w:multiLevelType w:val="hybridMultilevel"/>
    <w:lvl w:ilvl="0">
      <w:start w:val="1"/>
      <w:numFmt w:val="decimal"/>
      <w:lvlText w:val="%1"/>
      <w:lvlJc w:val="left"/>
      <w:pPr>
        <w:ind w:left="1155" w:hanging="317"/>
        <w:jc w:val="right"/>
      </w:pPr>
      <w:rPr>
        <w:rFonts w:hint="default" w:ascii="黑体" w:hAnsi="黑体" w:eastAsia="黑体" w:cs="黑体"/>
        <w:w w:val="100"/>
        <w:sz w:val="21"/>
        <w:szCs w:val="21"/>
        <w:lang w:val="en-US" w:eastAsia="en-US" w:bidi="en-US"/>
      </w:rPr>
    </w:lvl>
    <w:lvl w:ilvl="1">
      <w:start w:val="1"/>
      <w:numFmt w:val="decimal"/>
      <w:lvlText w:val="%1.%2"/>
      <w:lvlJc w:val="left"/>
      <w:pPr>
        <w:ind w:left="870" w:hanging="318"/>
        <w:jc w:val="left"/>
      </w:pPr>
      <w:rPr>
        <w:rFonts w:hint="default" w:ascii="黑体" w:hAnsi="黑体" w:eastAsia="黑体" w:cs="黑体"/>
        <w:w w:val="100"/>
        <w:sz w:val="19"/>
        <w:szCs w:val="19"/>
        <w:lang w:val="en-US" w:eastAsia="en-US" w:bidi="en-US"/>
      </w:rPr>
    </w:lvl>
    <w:lvl w:ilvl="2">
      <w:start w:val="1"/>
      <w:numFmt w:val="lowerLetter"/>
      <w:lvlText w:val="%3）"/>
      <w:lvlJc w:val="left"/>
      <w:pPr>
        <w:ind w:left="1310" w:hanging="318"/>
        <w:jc w:val="left"/>
      </w:pPr>
      <w:rPr>
        <w:rFonts w:hint="default" w:ascii="宋体" w:hAnsi="宋体" w:eastAsia="宋体" w:cs="宋体"/>
        <w:spacing w:val="-3"/>
        <w:w w:val="100"/>
        <w:sz w:val="19"/>
        <w:szCs w:val="19"/>
        <w:lang w:val="en-US" w:eastAsia="en-US" w:bidi="en-US"/>
      </w:rPr>
    </w:lvl>
    <w:lvl w:ilvl="3">
      <w:start w:val="0"/>
      <w:numFmt w:val="bullet"/>
      <w:lvlText w:val="•"/>
      <w:lvlJc w:val="left"/>
      <w:pPr>
        <w:ind w:left="1280" w:hanging="318"/>
      </w:pPr>
      <w:rPr>
        <w:rFonts w:hint="default"/>
        <w:lang w:val="en-US" w:eastAsia="en-US" w:bidi="en-US"/>
      </w:rPr>
    </w:lvl>
    <w:lvl w:ilvl="4">
      <w:start w:val="0"/>
      <w:numFmt w:val="bullet"/>
      <w:lvlText w:val="•"/>
      <w:lvlJc w:val="left"/>
      <w:pPr>
        <w:ind w:left="1320" w:hanging="318"/>
      </w:pPr>
      <w:rPr>
        <w:rFonts w:hint="default"/>
        <w:lang w:val="en-US" w:eastAsia="en-US" w:bidi="en-US"/>
      </w:rPr>
    </w:lvl>
    <w:lvl w:ilvl="5">
      <w:start w:val="0"/>
      <w:numFmt w:val="bullet"/>
      <w:lvlText w:val="•"/>
      <w:lvlJc w:val="left"/>
      <w:pPr>
        <w:ind w:left="2891" w:hanging="318"/>
      </w:pPr>
      <w:rPr>
        <w:rFonts w:hint="default"/>
        <w:lang w:val="en-US" w:eastAsia="en-US" w:bidi="en-US"/>
      </w:rPr>
    </w:lvl>
    <w:lvl w:ilvl="6">
      <w:start w:val="0"/>
      <w:numFmt w:val="bullet"/>
      <w:lvlText w:val="•"/>
      <w:lvlJc w:val="left"/>
      <w:pPr>
        <w:ind w:left="4462" w:hanging="318"/>
      </w:pPr>
      <w:rPr>
        <w:rFonts w:hint="default"/>
        <w:lang w:val="en-US" w:eastAsia="en-US" w:bidi="en-US"/>
      </w:rPr>
    </w:lvl>
    <w:lvl w:ilvl="7">
      <w:start w:val="0"/>
      <w:numFmt w:val="bullet"/>
      <w:lvlText w:val="•"/>
      <w:lvlJc w:val="left"/>
      <w:pPr>
        <w:ind w:left="6033" w:hanging="318"/>
      </w:pPr>
      <w:rPr>
        <w:rFonts w:hint="default"/>
        <w:lang w:val="en-US" w:eastAsia="en-US" w:bidi="en-US"/>
      </w:rPr>
    </w:lvl>
    <w:lvl w:ilvl="8">
      <w:start w:val="0"/>
      <w:numFmt w:val="bullet"/>
      <w:lvlText w:val="•"/>
      <w:lvlJc w:val="left"/>
      <w:pPr>
        <w:ind w:left="7604" w:hanging="318"/>
      </w:pPr>
      <w:rPr>
        <w:rFonts w:hint="default"/>
        <w:lang w:val="en-US" w:eastAsia="en-US" w:bidi="en-US"/>
      </w:rPr>
    </w:lvl>
  </w:abstractNum>
  <w:abstractNum w:abstractNumId="0">
    <w:multiLevelType w:val="hybridMultilevel"/>
    <w:lvl w:ilvl="0">
      <w:start w:val="1"/>
      <w:numFmt w:val="decimal"/>
      <w:lvlText w:val="%1"/>
      <w:lvlJc w:val="left"/>
      <w:pPr>
        <w:ind w:left="1170" w:hanging="332"/>
        <w:jc w:val="left"/>
      </w:pPr>
      <w:rPr>
        <w:rFonts w:hint="default" w:ascii="黑体" w:hAnsi="黑体" w:eastAsia="黑体" w:cs="黑体"/>
        <w:w w:val="100"/>
        <w:sz w:val="22"/>
        <w:szCs w:val="22"/>
        <w:lang w:val="en-US" w:eastAsia="en-US" w:bidi="en-US"/>
      </w:rPr>
    </w:lvl>
    <w:lvl w:ilvl="1">
      <w:start w:val="0"/>
      <w:numFmt w:val="bullet"/>
      <w:lvlText w:val="•"/>
      <w:lvlJc w:val="left"/>
      <w:pPr>
        <w:ind w:left="2136" w:hanging="332"/>
      </w:pPr>
      <w:rPr>
        <w:rFonts w:hint="default"/>
        <w:lang w:val="en-US" w:eastAsia="en-US" w:bidi="en-US"/>
      </w:rPr>
    </w:lvl>
    <w:lvl w:ilvl="2">
      <w:start w:val="0"/>
      <w:numFmt w:val="bullet"/>
      <w:lvlText w:val="•"/>
      <w:lvlJc w:val="left"/>
      <w:pPr>
        <w:ind w:left="3093" w:hanging="332"/>
      </w:pPr>
      <w:rPr>
        <w:rFonts w:hint="default"/>
        <w:lang w:val="en-US" w:eastAsia="en-US" w:bidi="en-US"/>
      </w:rPr>
    </w:lvl>
    <w:lvl w:ilvl="3">
      <w:start w:val="0"/>
      <w:numFmt w:val="bullet"/>
      <w:lvlText w:val="•"/>
      <w:lvlJc w:val="left"/>
      <w:pPr>
        <w:ind w:left="4049" w:hanging="332"/>
      </w:pPr>
      <w:rPr>
        <w:rFonts w:hint="default"/>
        <w:lang w:val="en-US" w:eastAsia="en-US" w:bidi="en-US"/>
      </w:rPr>
    </w:lvl>
    <w:lvl w:ilvl="4">
      <w:start w:val="0"/>
      <w:numFmt w:val="bullet"/>
      <w:lvlText w:val="•"/>
      <w:lvlJc w:val="left"/>
      <w:pPr>
        <w:ind w:left="5006" w:hanging="332"/>
      </w:pPr>
      <w:rPr>
        <w:rFonts w:hint="default"/>
        <w:lang w:val="en-US" w:eastAsia="en-US" w:bidi="en-US"/>
      </w:rPr>
    </w:lvl>
    <w:lvl w:ilvl="5">
      <w:start w:val="0"/>
      <w:numFmt w:val="bullet"/>
      <w:lvlText w:val="•"/>
      <w:lvlJc w:val="left"/>
      <w:pPr>
        <w:ind w:left="5963" w:hanging="332"/>
      </w:pPr>
      <w:rPr>
        <w:rFonts w:hint="default"/>
        <w:lang w:val="en-US" w:eastAsia="en-US" w:bidi="en-US"/>
      </w:rPr>
    </w:lvl>
    <w:lvl w:ilvl="6">
      <w:start w:val="0"/>
      <w:numFmt w:val="bullet"/>
      <w:lvlText w:val="•"/>
      <w:lvlJc w:val="left"/>
      <w:pPr>
        <w:ind w:left="6919" w:hanging="332"/>
      </w:pPr>
      <w:rPr>
        <w:rFonts w:hint="default"/>
        <w:lang w:val="en-US" w:eastAsia="en-US" w:bidi="en-US"/>
      </w:rPr>
    </w:lvl>
    <w:lvl w:ilvl="7">
      <w:start w:val="0"/>
      <w:numFmt w:val="bullet"/>
      <w:lvlText w:val="•"/>
      <w:lvlJc w:val="left"/>
      <w:pPr>
        <w:ind w:left="7876" w:hanging="332"/>
      </w:pPr>
      <w:rPr>
        <w:rFonts w:hint="default"/>
        <w:lang w:val="en-US" w:eastAsia="en-US" w:bidi="en-US"/>
      </w:rPr>
    </w:lvl>
    <w:lvl w:ilvl="8">
      <w:start w:val="0"/>
      <w:numFmt w:val="bullet"/>
      <w:lvlText w:val="•"/>
      <w:lvlJc w:val="left"/>
      <w:pPr>
        <w:ind w:left="8833" w:hanging="332"/>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Heading1" w:type="paragraph">
    <w:name w:val="Heading 1"/>
    <w:basedOn w:val="Normal"/>
    <w:uiPriority w:val="1"/>
    <w:qFormat/>
    <w:pPr>
      <w:spacing w:before="55"/>
      <w:jc w:val="center"/>
      <w:outlineLvl w:val="1"/>
    </w:pPr>
    <w:rPr>
      <w:rFonts w:ascii="黑体" w:hAnsi="黑体" w:eastAsia="黑体" w:cs="黑体"/>
      <w:sz w:val="32"/>
      <w:szCs w:val="32"/>
      <w:lang w:val="en-US" w:eastAsia="en-US" w:bidi="en-US"/>
    </w:rPr>
  </w:style>
  <w:style w:styleId="Heading2" w:type="paragraph">
    <w:name w:val="Heading 2"/>
    <w:basedOn w:val="Normal"/>
    <w:uiPriority w:val="1"/>
    <w:qFormat/>
    <w:pPr>
      <w:spacing w:before="1"/>
      <w:ind w:left="1"/>
      <w:outlineLvl w:val="2"/>
    </w:pPr>
    <w:rPr>
      <w:rFonts w:ascii="Cambria Math" w:hAnsi="Cambria Math" w:eastAsia="Cambria Math" w:cs="Cambria Math"/>
      <w:sz w:val="24"/>
      <w:szCs w:val="24"/>
      <w:lang w:val="en-US" w:eastAsia="en-US" w:bidi="en-US"/>
    </w:rPr>
  </w:style>
  <w:style w:styleId="ListParagraph" w:type="paragraph">
    <w:name w:val="List Paragraph"/>
    <w:basedOn w:val="Normal"/>
    <w:uiPriority w:val="1"/>
    <w:qFormat/>
    <w:pPr>
      <w:ind w:left="1078" w:hanging="527"/>
    </w:pPr>
    <w:rPr>
      <w:rFonts w:ascii="宋体" w:hAnsi="宋体" w:eastAsia="宋体" w:cs="宋体"/>
      <w:lang w:val="en-US" w:eastAsia="en-US" w:bidi="en-US"/>
    </w:rPr>
  </w:style>
  <w:style w:styleId="TableParagraph" w:type="paragraph">
    <w:name w:val="Table Paragraph"/>
    <w:basedOn w:val="Normal"/>
    <w:uiPriority w:val="1"/>
    <w:qFormat/>
    <w:pPr>
      <w:spacing w:before="52"/>
      <w:ind w:left="28"/>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Lixing</dc:creator>
  <dcterms:created xsi:type="dcterms:W3CDTF">2022-07-08T07:18:42Z</dcterms:created>
  <dcterms:modified xsi:type="dcterms:W3CDTF">2022-07-08T07:18:42Z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2016</vt:lpwstr>
  </property>
  <property fmtid="{D5CDD505-2E9C-101B-9397-08002B2CF9AE}" pid="4" name="LastSaved">
    <vt:filetime>2022-07-08T00:00:00Z</vt:filetime>
  </property>
</Properties>
</file>